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935"/>
        <w:jc w:val="center"/>
        <w:rPr>
          <w:rFonts w:ascii="仿宋_GB2312" w:eastAsia="仿宋_GB2312"/>
          <w:spacing w:val="-20"/>
          <w:sz w:val="32"/>
          <w:szCs w:val="32"/>
        </w:rPr>
      </w:pPr>
      <w:r>
        <w:rPr>
          <w:rFonts w:ascii="仿宋_GB2312" w:eastAsia="仿宋_GB2312"/>
          <w:spacing w:val="-20"/>
          <w:sz w:val="32"/>
          <w:szCs w:val="32"/>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-88900</wp:posOffset>
                </wp:positionV>
                <wp:extent cx="3856355" cy="9632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56355" cy="963295"/>
                        </a:xfrm>
                        <a:prstGeom prst="rect">
                          <a:avLst/>
                        </a:prstGeom>
                        <a:noFill/>
                        <a:ln>
                          <a:noFill/>
                        </a:ln>
                        <a:effectLst/>
                      </wps:spPr>
                      <wps:txbx>
                        <w:txbxContent>
                          <w:p>
                            <w:pPr>
                              <w:rPr>
                                <w:rFonts w:ascii="方正小标宋简体" w:eastAsia="方正小标宋简体"/>
                              </w:rPr>
                            </w:pPr>
                            <w:r>
                              <w:rPr>
                                <w:rFonts w:hint="eastAsia" w:ascii="方正小标宋简体" w:eastAsia="方正小标宋简体"/>
                                <w:color w:val="FF0000"/>
                                <w:spacing w:val="-20"/>
                                <w:w w:val="58"/>
                                <w:sz w:val="96"/>
                                <w:szCs w:val="56"/>
                              </w:rPr>
                              <w:t>榆林市横山区农业农村局</w:t>
                            </w:r>
                          </w:p>
                        </w:txbxContent>
                      </wps:txbx>
                      <wps:bodyPr upright="1"/>
                    </wps:wsp>
                  </a:graphicData>
                </a:graphic>
              </wp:anchor>
            </w:drawing>
          </mc:Choice>
          <mc:Fallback>
            <w:pict>
              <v:shape id="_x0000_s1026" o:spid="_x0000_s1026" o:spt="202" type="#_x0000_t202" style="position:absolute;left:0pt;margin-left:-3.7pt;margin-top:-7pt;height:75.85pt;width:303.65pt;z-index:251659264;mso-width-relative:page;mso-height-relative:page;" filled="f" stroked="f" coordsize="21600,21600" o:gfxdata="UEsDBAoAAAAAAIdO4kAAAAAAAAAAAAAAAAAEAAAAZHJzL1BLAwQUAAAACACHTuJA9cyfqtcAAAAK&#10;AQAADwAAAGRycy9kb3ducmV2LnhtbE2PwU7DMAyG70i8Q2QkbltS6FbaNd0BxBXEGEjcssZrqzVO&#10;1WRreXvMCU6W5U+/v7/czq4XFxxD50lDslQgkGpvO2o07N+fFw8gQjRkTe8JNXxjgG11fVWawvqJ&#10;3vCyi43gEAqF0dDGOBRShrpFZ8LSD0h8O/rRmcjr2Eg7monDXS/vlFpLZzriD60Z8LHF+rQ7Ow0f&#10;L8evz1S9Nk9uNUx+VpJcLrW+vUnUBkTEOf7B8KvP6lCx08GfyQbRa1hkKZM8k5Q7MbDK8xzEgcn7&#10;LANZlfJ/heoHUEsDBBQAAAAIAIdO4kCYUdMTsgEAAFwDAAAOAAAAZHJzL2Uyb0RvYy54bWytU0tu&#10;2zAQ3RfIHQjua/oDG4lgOUBhJJuiLZD2ADRFWQRIDsGhLfkC7Q266qb7nsvn6FBSnE83WXRDDd8M&#10;38x7pNa3nbPsqCMa8CWfTaacaa+gMn5f8m9f795fc4ZJ+kpa8LrkJ438dnP1bt2GQs+hAVvpyIjE&#10;Y9GGkjcphUIIVI12EicQtKdkDdHJRNu4F1WULbE7K+bT6Uq0EKsQQWlEQrdDko+M8S2EUNdG6S2o&#10;g9M+DaxRW5lIEjYmIN/009a1VulzXaNOzJaclKZ+pSYU7/IqNmtZ7KMMjVHjCPItI7zS5KTx1PRC&#10;tZVJskM0/1A5oyIg1GmiwIlBSO8IqZhNX3nz0Migey1kNYaL6fj/aNWn45fITEUvgTMvHV34+eeP&#10;868/59/f2Szb0wYsqOohUF3qPkCXS0ccCcyquzq6/CU9jPJk7uliru4SUwQurperxXLJmaLczWox&#10;v1lmGvF0OkRM9xocy0HJI11e76k8fsQ0lD6W5GYe7oy1hMvC+hcAcQ6I7l/AeDoLGQbOUep23ahi&#10;B9WJxB1CNPuGGvfyRC4i0/sJxweSb/X5nuLnP8Xm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XM&#10;n6rXAAAACgEAAA8AAAAAAAAAAQAgAAAAIgAAAGRycy9kb3ducmV2LnhtbFBLAQIUABQAAAAIAIdO&#10;4kCYUdMTsgEAAFwDAAAOAAAAAAAAAAEAIAAAACYBAABkcnMvZTJvRG9jLnhtbFBLBQYAAAAABgAG&#10;AFkBAABKBQAAAAA=&#10;">
                <v:fill on="f" focussize="0,0"/>
                <v:stroke on="f"/>
                <v:imagedata o:title=""/>
                <o:lock v:ext="edit" aspectratio="f"/>
                <v:textbox>
                  <w:txbxContent>
                    <w:p>
                      <w:pPr>
                        <w:rPr>
                          <w:rFonts w:ascii="方正小标宋简体" w:eastAsia="方正小标宋简体"/>
                        </w:rPr>
                      </w:pPr>
                      <w:r>
                        <w:rPr>
                          <w:rFonts w:hint="eastAsia" w:ascii="方正小标宋简体" w:eastAsia="方正小标宋简体"/>
                          <w:color w:val="FF0000"/>
                          <w:spacing w:val="-20"/>
                          <w:w w:val="58"/>
                          <w:sz w:val="96"/>
                          <w:szCs w:val="56"/>
                        </w:rPr>
                        <w:t>榆林市横山区农业农村局</w:t>
                      </w:r>
                    </w:p>
                  </w:txbxContent>
                </v:textbox>
              </v:shape>
            </w:pict>
          </mc:Fallback>
        </mc:AlternateContent>
      </w:r>
      <w:r>
        <w:rPr>
          <w:rFonts w:hint="eastAsia" w:ascii="仿宋_GB2312" w:eastAsia="仿宋_GB2312"/>
          <w:spacing w:val="-20"/>
          <w:sz w:val="32"/>
          <w:szCs w:val="32"/>
          <w:lang w:val="en-US" w:eastAsia="zh-CN"/>
        </w:rPr>
        <w:t xml:space="preserve">                                                  </w:t>
      </w:r>
      <w:r>
        <w:rPr>
          <w:rFonts w:hint="eastAsia" w:ascii="仿宋_GB2312" w:eastAsia="仿宋_GB2312"/>
          <w:spacing w:val="-20"/>
          <w:sz w:val="32"/>
          <w:szCs w:val="32"/>
        </w:rPr>
        <w:t>类  别：</w:t>
      </w:r>
      <w:r>
        <w:rPr>
          <w:rFonts w:hint="eastAsia" w:ascii="仿宋_GB2312" w:eastAsia="仿宋_GB2312"/>
          <w:spacing w:val="-20"/>
          <w:sz w:val="32"/>
          <w:szCs w:val="32"/>
          <w:lang w:val="en-US" w:eastAsia="zh-CN"/>
        </w:rPr>
        <w:t xml:space="preserve"> B</w:t>
      </w:r>
      <w:r>
        <w:rPr>
          <w:rFonts w:hint="eastAsia" w:ascii="仿宋_GB2312" w:eastAsia="仿宋_GB2312"/>
          <w:spacing w:val="-20"/>
          <w:sz w:val="32"/>
          <w:szCs w:val="32"/>
        </w:rPr>
        <w:t xml:space="preserve"> </w:t>
      </w:r>
    </w:p>
    <w:p>
      <w:pPr>
        <w:ind w:firstLine="6020" w:firstLineChars="2150"/>
        <w:rPr>
          <w:rFonts w:hint="eastAsia" w:ascii="仿宋_GB2312" w:eastAsia="仿宋_GB2312"/>
          <w:b/>
          <w:sz w:val="32"/>
          <w:szCs w:val="32"/>
          <w:lang w:val="en-US" w:eastAsia="zh-CN"/>
        </w:rPr>
      </w:pPr>
      <w:r>
        <w:rPr>
          <w:rFonts w:hint="eastAsia" w:ascii="仿宋_GB2312" w:eastAsia="仿宋_GB2312"/>
          <w:spacing w:val="-20"/>
          <w:sz w:val="32"/>
          <w:szCs w:val="32"/>
        </w:rPr>
        <w:t>签发人：</w:t>
      </w:r>
      <w:r>
        <w:rPr>
          <w:rFonts w:hint="eastAsia" w:ascii="仿宋_GB2312" w:eastAsia="仿宋_GB2312"/>
          <w:spacing w:val="-20"/>
          <w:sz w:val="32"/>
          <w:szCs w:val="32"/>
          <w:lang w:val="en-US" w:eastAsia="zh-CN"/>
        </w:rPr>
        <w:t>张世雄</w:t>
      </w:r>
    </w:p>
    <w:p>
      <w:pPr>
        <w:rPr>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-92075</wp:posOffset>
                </wp:positionH>
                <wp:positionV relativeFrom="paragraph">
                  <wp:posOffset>81915</wp:posOffset>
                </wp:positionV>
                <wp:extent cx="540067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400675" cy="0"/>
                        </a:xfrm>
                        <a:prstGeom prst="straightConnector1">
                          <a:avLst/>
                        </a:prstGeom>
                        <a:ln w="158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25pt;margin-top:6.45pt;height:0pt;width:425.25pt;z-index:251660288;mso-width-relative:page;mso-height-relative:page;" filled="f" stroked="t" coordsize="21600,21600" o:gfxdata="UEsDBAoAAAAAAIdO4kAAAAAAAAAAAAAAAAAEAAAAZHJzL1BLAwQUAAAACACHTuJA/eWoedcAAAAJ&#10;AQAADwAAAGRycy9kb3ducmV2LnhtbE2PzU7DMBCE70i8g7VI3FonKVQlxOkBhISEhGhpObvJEgfi&#10;dYidv7dnEQc47syn2ZlsO9lGDNj52pGCeBmBQCpcWVOl4PD6sNiA8EFTqRtHqGBGD9v8/CzTaelG&#10;2uGwD5XgEPKpVmBCaFMpfWHQar90LRJ7766zOvDZVbLs9MjhtpFJFK2l1TXxB6NbvDNYfO57q2CY&#10;n+L54ziZ9uv5ZTVW965P3h6VuryIo1sQAafwB8NPfa4OOXc6uZ5KLxoFi/jqmlE2khsQDGxWax53&#10;+hVknsn/C/JvUEsDBBQAAAAIAIdO4kB/2h3IAgIAAPsDAAAOAAAAZHJzL2Uyb0RvYy54bWytU0uO&#10;EzEQ3SNxB8t70klEYNRKZxYJYYMgEnCAitvdbck/uTzp5BJcAIkVsAJWs+c0MByDsjsThmGTBb1w&#10;lz/1qt7z8/xybzTbyYDK2YpPRmPOpBWuVrat+Ns360cXnGEEW4N2Vlb8IJFfLh4+mPe+lFPXOV3L&#10;wAjEYtn7incx+rIoUHTSAI6cl5Y2GxcMRJqGtqgD9IRudDEdj58UvQu1D05IRFpdDZv8iBjOAXRN&#10;o4RcOXFlpI0DapAaIlHCTnnki9xt00gRXzUNysh0xYlpzCMVoXibxmIxh7IN4Dslji3AOS3c42RA&#10;WSp6glpBBHYV1D9QRong0DVxJJwpBiJZEWIxGd/T5nUHXmYuJDX6k+j4/2DFy90mMFVXfMqZBUMX&#10;fvP++ue7Tzffvv74eP3r+4cUf/nMpkmq3mNJGUu7CccZ+k1IvPdNMOlPjNg+y3s4ySv3kQlanD2m&#10;638640zc7hV/En3A+Fw6w1JQcYwBVNvFpbOWLtGFSZYXdi8wUmlKvE1IVbVlPXl5dpHRgVzZkBuo&#10;kPHEDG2bk9FpVa+V1ikFQ7td6sB2QM5Yr8f0JYYE/NexVGUF2A3n8tbgmU5C/czWLB48aWbpqfDU&#10;g5E1Z1rSy0oRAUIZQelzTlJpbVOCzL49Ek2SDyKnaOvqQ9a+SDPyRO746N9kurtziu++2c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WoedcAAAAJAQAADwAAAAAAAAABACAAAAAiAAAAZHJzL2Rv&#10;d25yZXYueG1sUEsBAhQAFAAAAAgAh07iQH/aHcgCAgAA+wMAAA4AAAAAAAAAAQAgAAAAJgEAAGRy&#10;cy9lMm9Eb2MueG1sUEsFBgAAAAAGAAYAWQEAAJoFAAAAAA==&#10;">
                <v:fill on="f" focussize="0,0"/>
                <v:stroke weight="1.25pt" color="#FF0000" joinstyle="round"/>
                <v:imagedata o:title=""/>
                <o:lock v:ext="edit" aspectratio="f"/>
              </v:shape>
            </w:pict>
          </mc:Fallback>
        </mc:AlternateContent>
      </w:r>
    </w:p>
    <w:p>
      <w:pPr>
        <w:jc w:val="right"/>
        <w:rPr>
          <w:rFonts w:ascii="仿宋_GB2312" w:eastAsia="仿宋_GB2312"/>
          <w:sz w:val="32"/>
          <w:szCs w:val="32"/>
        </w:rPr>
      </w:pPr>
      <w:r>
        <w:rPr>
          <w:sz w:val="32"/>
          <w:szCs w:val="32"/>
        </w:rPr>
        <w:t>                                   </w:t>
      </w:r>
      <w:r>
        <w:rPr>
          <w:rFonts w:hint="eastAsia" w:ascii="仿宋_GB2312" w:eastAsia="仿宋_GB2312"/>
          <w:sz w:val="32"/>
          <w:szCs w:val="32"/>
        </w:rPr>
        <w:t>横政农函〔202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77</w:t>
      </w:r>
      <w:r>
        <w:rPr>
          <w:rFonts w:hint="eastAsia" w:ascii="仿宋_GB2312" w:eastAsia="仿宋_GB2312"/>
          <w:sz w:val="32"/>
          <w:szCs w:val="32"/>
        </w:rPr>
        <w:t>号</w:t>
      </w:r>
    </w:p>
    <w:p>
      <w:pPr>
        <w:pStyle w:val="5"/>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b w:val="0"/>
          <w:bCs w:val="0"/>
          <w:color w:val="auto"/>
          <w:kern w:val="2"/>
          <w:sz w:val="44"/>
          <w:szCs w:val="44"/>
          <w:lang w:val="en-US" w:eastAsia="zh-CN" w:bidi="ar-SA"/>
        </w:rPr>
      </w:pPr>
      <w:r>
        <w:rPr>
          <w:rFonts w:hint="eastAsia" w:ascii="方正小标宋简体" w:hAnsi="Times New Roman" w:eastAsia="方正小标宋简体" w:cs="Times New Roman"/>
          <w:b w:val="0"/>
          <w:bCs w:val="0"/>
          <w:color w:val="auto"/>
          <w:kern w:val="2"/>
          <w:sz w:val="44"/>
          <w:szCs w:val="44"/>
          <w:lang w:val="en-US" w:eastAsia="zh-CN" w:bidi="ar-SA"/>
        </w:rPr>
        <w:t>关于区政协二届二次会议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val="0"/>
          <w:bCs w:val="0"/>
          <w:i w:val="0"/>
          <w:iCs w:val="0"/>
          <w:caps w:val="0"/>
          <w:color w:val="333333"/>
          <w:spacing w:val="0"/>
          <w:sz w:val="32"/>
          <w:szCs w:val="32"/>
          <w:shd w:val="clear" w:color="auto" w:fill="FFFFFF"/>
          <w:lang w:val="en-US" w:eastAsia="zh-CN"/>
        </w:rPr>
      </w:pPr>
      <w:r>
        <w:rPr>
          <w:rFonts w:hint="eastAsia" w:ascii="方正小标宋简体" w:hAnsi="Times New Roman" w:eastAsia="方正小标宋简体" w:cs="Times New Roman"/>
          <w:b w:val="0"/>
          <w:bCs w:val="0"/>
          <w:color w:val="auto"/>
          <w:kern w:val="2"/>
          <w:sz w:val="44"/>
          <w:szCs w:val="44"/>
          <w:lang w:val="en-US" w:eastAsia="zh-CN" w:bidi="ar-SA"/>
        </w:rPr>
        <w:t>第98号提案答复的函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_GB2312"/>
          <w:sz w:val="32"/>
          <w:szCs w:val="32"/>
        </w:rPr>
      </w:pPr>
      <w:r>
        <w:rPr>
          <w:rFonts w:hint="eastAsia" w:ascii="仿宋" w:hAnsi="仿宋" w:eastAsia="仿宋" w:cs="仿宋_GB2312"/>
          <w:sz w:val="32"/>
          <w:szCs w:val="32"/>
        </w:rPr>
        <w:t>王席平委员：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lang w:val="en-US" w:eastAsia="zh-CN" w:bidi="ar"/>
        </w:rPr>
      </w:pPr>
      <w:bookmarkStart w:id="0" w:name="_GoBack"/>
      <w:bookmarkEnd w:id="0"/>
      <w:r>
        <w:rPr>
          <w:rFonts w:hint="eastAsia" w:ascii="仿宋_GB2312" w:hAnsi="仿宋_GB2312" w:eastAsia="仿宋_GB2312" w:cs="仿宋_GB2312"/>
          <w:bCs/>
          <w:color w:val="auto"/>
          <w:kern w:val="0"/>
          <w:sz w:val="32"/>
          <w:szCs w:val="32"/>
          <w:lang w:val="en-US" w:eastAsia="zh-CN" w:bidi="ar"/>
        </w:rPr>
        <w:t>您提出的《关于加强我区农村垃圾集中处理的提案》（第98号）已收悉，现答复如下：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改善农村人居环境，建设美丽宜居乡村，是实施乡村振兴战略的一项重要任务。近年来，横山区深入贯彻落实中省市关于生态文明建设和环境保护的重大决策部署，以改善环境质量为核心，全面加强生态环境保护，大力实施铁腕治污攻坚行动，生态文明建设取得了新进展。</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仿宋" w:hAnsi="仿宋" w:eastAsia="仿宋" w:cs="楷体"/>
          <w:b/>
          <w:bCs/>
          <w:sz w:val="32"/>
          <w:szCs w:val="32"/>
        </w:rPr>
      </w:pPr>
      <w:r>
        <w:rPr>
          <w:rFonts w:hint="eastAsia" w:ascii="仿宋" w:hAnsi="仿宋" w:eastAsia="仿宋" w:cs="楷体"/>
          <w:b/>
          <w:bCs/>
          <w:sz w:val="32"/>
          <w:szCs w:val="32"/>
        </w:rPr>
        <w:t>有序推进农村生活垃圾治理。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w:t>
      </w:r>
      <w:r>
        <w:rPr>
          <w:rFonts w:hint="eastAsia" w:ascii="仿宋" w:hAnsi="仿宋" w:eastAsia="仿宋" w:cs="仿宋_GB2312"/>
          <w:sz w:val="32"/>
          <w:szCs w:val="32"/>
        </w:rPr>
        <w:t>我区积极开展村庄清洁“百日行动”活动。区政府拿出3</w:t>
      </w:r>
      <w:r>
        <w:rPr>
          <w:rFonts w:ascii="仿宋" w:hAnsi="仿宋" w:eastAsia="仿宋" w:cs="仿宋_GB2312"/>
          <w:sz w:val="32"/>
          <w:szCs w:val="32"/>
        </w:rPr>
        <w:t>00</w:t>
      </w:r>
      <w:r>
        <w:rPr>
          <w:rFonts w:hint="eastAsia" w:ascii="仿宋" w:hAnsi="仿宋" w:eastAsia="仿宋" w:cs="仿宋_GB2312"/>
          <w:sz w:val="32"/>
          <w:szCs w:val="32"/>
        </w:rPr>
        <w:t>万元农村人居环境整治专项资金，用于我区村庄清洁“百日行动”工作。活动期间各镇、街道办、社区迅速动员，集中整治村庄环境“脏乱差”问题，加快推动村容村貌全面提升。上半年以来，已累计清理农村生活垃圾</w:t>
      </w:r>
      <w:r>
        <w:rPr>
          <w:rFonts w:ascii="仿宋" w:hAnsi="仿宋" w:eastAsia="仿宋" w:cs="仿宋_GB2312"/>
          <w:sz w:val="32"/>
          <w:szCs w:val="32"/>
        </w:rPr>
        <w:t xml:space="preserve"> 500</w:t>
      </w:r>
      <w:r>
        <w:rPr>
          <w:rFonts w:hint="eastAsia" w:ascii="仿宋" w:hAnsi="仿宋" w:eastAsia="仿宋" w:cs="仿宋_GB2312"/>
          <w:sz w:val="32"/>
          <w:szCs w:val="32"/>
        </w:rPr>
        <w:t>多</w:t>
      </w:r>
      <w:r>
        <w:rPr>
          <w:rFonts w:ascii="仿宋" w:hAnsi="仿宋" w:eastAsia="仿宋" w:cs="仿宋_GB2312"/>
          <w:sz w:val="32"/>
          <w:szCs w:val="32"/>
        </w:rPr>
        <w:t>吨、</w:t>
      </w:r>
      <w:r>
        <w:rPr>
          <w:rFonts w:hint="eastAsia" w:ascii="仿宋" w:hAnsi="仿宋" w:eastAsia="仿宋" w:cs="仿宋_GB2312"/>
          <w:sz w:val="32"/>
          <w:szCs w:val="32"/>
        </w:rPr>
        <w:t>清理畜禽养殖粪污等农业生产废弃物3</w:t>
      </w:r>
      <w:r>
        <w:rPr>
          <w:rFonts w:ascii="仿宋" w:hAnsi="仿宋" w:eastAsia="仿宋" w:cs="仿宋_GB2312"/>
          <w:sz w:val="32"/>
          <w:szCs w:val="32"/>
        </w:rPr>
        <w:t>20</w:t>
      </w:r>
      <w:r>
        <w:rPr>
          <w:rFonts w:hint="eastAsia" w:ascii="仿宋" w:hAnsi="仿宋" w:eastAsia="仿宋" w:cs="仿宋_GB2312"/>
          <w:sz w:val="32"/>
          <w:szCs w:val="32"/>
        </w:rPr>
        <w:t>多吨、</w:t>
      </w:r>
      <w:r>
        <w:rPr>
          <w:rFonts w:ascii="仿宋" w:hAnsi="仿宋" w:eastAsia="仿宋" w:cs="仿宋_GB2312"/>
          <w:sz w:val="32"/>
          <w:szCs w:val="32"/>
        </w:rPr>
        <w:t>村内沟渠 80</w:t>
      </w:r>
      <w:r>
        <w:rPr>
          <w:rFonts w:hint="eastAsia" w:ascii="仿宋" w:hAnsi="仿宋" w:eastAsia="仿宋" w:cs="仿宋_GB2312"/>
          <w:sz w:val="32"/>
          <w:szCs w:val="32"/>
        </w:rPr>
        <w:t>多</w:t>
      </w:r>
      <w:r>
        <w:rPr>
          <w:rFonts w:ascii="仿宋" w:hAnsi="仿宋" w:eastAsia="仿宋" w:cs="仿宋_GB2312"/>
          <w:sz w:val="32"/>
          <w:szCs w:val="32"/>
        </w:rPr>
        <w:t>公里、残</w:t>
      </w:r>
      <w:r>
        <w:rPr>
          <w:rFonts w:hint="eastAsia" w:ascii="仿宋" w:hAnsi="仿宋" w:eastAsia="仿宋" w:cs="仿宋_GB2312"/>
          <w:sz w:val="32"/>
          <w:szCs w:val="32"/>
        </w:rPr>
        <w:t>垣断壁</w:t>
      </w:r>
      <w:r>
        <w:rPr>
          <w:rFonts w:ascii="仿宋" w:hAnsi="仿宋" w:eastAsia="仿宋" w:cs="仿宋_GB2312"/>
          <w:sz w:val="32"/>
          <w:szCs w:val="32"/>
        </w:rPr>
        <w:t xml:space="preserve">100 </w:t>
      </w:r>
      <w:r>
        <w:rPr>
          <w:rFonts w:hint="eastAsia" w:ascii="仿宋" w:hAnsi="仿宋" w:eastAsia="仿宋" w:cs="仿宋_GB2312"/>
          <w:sz w:val="32"/>
          <w:szCs w:val="32"/>
        </w:rPr>
        <w:t>多</w:t>
      </w:r>
      <w:r>
        <w:rPr>
          <w:rFonts w:ascii="仿宋" w:hAnsi="仿宋" w:eastAsia="仿宋" w:cs="仿宋_GB2312"/>
          <w:sz w:val="32"/>
          <w:szCs w:val="32"/>
        </w:rPr>
        <w:t>处，发动农民群众投工投劳1.6</w:t>
      </w:r>
      <w:r>
        <w:rPr>
          <w:rFonts w:hint="eastAsia" w:ascii="仿宋" w:hAnsi="仿宋" w:eastAsia="仿宋" w:cs="仿宋_GB2312"/>
          <w:sz w:val="32"/>
          <w:szCs w:val="32"/>
        </w:rPr>
        <w:t>万</w:t>
      </w:r>
      <w:r>
        <w:rPr>
          <w:rFonts w:ascii="仿宋" w:hAnsi="仿宋" w:eastAsia="仿宋" w:cs="仿宋_GB2312"/>
          <w:sz w:val="32"/>
          <w:szCs w:val="32"/>
        </w:rPr>
        <w:t>人次。特别</w:t>
      </w:r>
      <w:r>
        <w:rPr>
          <w:rFonts w:hint="eastAsia" w:ascii="仿宋" w:hAnsi="仿宋" w:eastAsia="仿宋" w:cs="仿宋_GB2312"/>
          <w:sz w:val="32"/>
          <w:szCs w:val="32"/>
        </w:rPr>
        <w:t>是加强疫情防控工作措施，开展各类宣传</w:t>
      </w:r>
      <w:r>
        <w:rPr>
          <w:rFonts w:ascii="仿宋" w:hAnsi="仿宋" w:eastAsia="仿宋" w:cs="仿宋_GB2312"/>
          <w:sz w:val="32"/>
          <w:szCs w:val="32"/>
        </w:rPr>
        <w:t>200余场次，</w:t>
      </w:r>
      <w:r>
        <w:rPr>
          <w:rFonts w:hint="eastAsia" w:ascii="仿宋" w:hAnsi="仿宋" w:eastAsia="仿宋" w:cs="仿宋_GB2312"/>
          <w:sz w:val="32"/>
          <w:szCs w:val="32"/>
        </w:rPr>
        <w:t>组织开展农村环境卫生消杀</w:t>
      </w:r>
      <w:r>
        <w:rPr>
          <w:rFonts w:ascii="仿宋" w:hAnsi="仿宋" w:eastAsia="仿宋" w:cs="仿宋_GB2312"/>
          <w:sz w:val="32"/>
          <w:szCs w:val="32"/>
        </w:rPr>
        <w:t xml:space="preserve"> 2200 多次，实现了防疫、整治“两不误、两促进”。</w:t>
      </w:r>
      <w:r>
        <w:rPr>
          <w:rFonts w:hint="eastAsia" w:ascii="仿宋" w:hAnsi="仿宋" w:eastAsia="仿宋" w:cs="仿宋_GB2312"/>
          <w:sz w:val="32"/>
          <w:szCs w:val="32"/>
        </w:rPr>
        <w:t>全区各镇村公路主干道环境卫生明显改善，村庄清洁行动成效显著。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_GB2312"/>
          <w:sz w:val="32"/>
          <w:szCs w:val="32"/>
        </w:rPr>
      </w:pPr>
      <w:r>
        <w:rPr>
          <w:rFonts w:hint="eastAsia" w:ascii="仿宋" w:hAnsi="仿宋" w:eastAsia="仿宋" w:cs="仿宋_GB2312"/>
          <w:b/>
          <w:bCs/>
          <w:sz w:val="32"/>
          <w:szCs w:val="32"/>
        </w:rPr>
        <w:t>2</w:t>
      </w:r>
      <w:r>
        <w:rPr>
          <w:rFonts w:ascii="仿宋" w:hAnsi="仿宋" w:eastAsia="仿宋" w:cs="仿宋_GB2312"/>
          <w:b/>
          <w:bCs/>
          <w:sz w:val="32"/>
          <w:szCs w:val="32"/>
        </w:rPr>
        <w:t>.</w:t>
      </w:r>
      <w:r>
        <w:rPr>
          <w:rFonts w:hint="eastAsia" w:ascii="仿宋" w:hAnsi="仿宋" w:eastAsia="仿宋" w:cs="仿宋_GB2312"/>
          <w:sz w:val="32"/>
          <w:szCs w:val="32"/>
        </w:rPr>
        <w:t>按照“户分类、村收集、镇转运、区处理”原则。一是以点带线，重点推进。我区已在党岔镇、赵石畔镇、石湾镇、魏家楼镇、响水镇建成了生活垃圾填埋场5处，以204省道沿线、307国道沿线村庄环境整治为重点，以点串线示范打造，形成了良好垃圾治理氛围；二是进一步建立健全村级保洁制度。印发了《榆林市横山区村级保洁管理实施方案》和《榆林市横山区村级保洁员管理办法》，今年5月份又对全区214个村的45</w:t>
      </w:r>
      <w:r>
        <w:rPr>
          <w:rFonts w:ascii="仿宋" w:hAnsi="仿宋" w:eastAsia="仿宋" w:cs="仿宋_GB2312"/>
          <w:sz w:val="32"/>
          <w:szCs w:val="32"/>
        </w:rPr>
        <w:t>2</w:t>
      </w:r>
      <w:r>
        <w:rPr>
          <w:rFonts w:hint="eastAsia" w:ascii="仿宋" w:hAnsi="仿宋" w:eastAsia="仿宋" w:cs="仿宋_GB2312"/>
          <w:sz w:val="32"/>
          <w:szCs w:val="32"/>
        </w:rPr>
        <w:t>名村级</w:t>
      </w:r>
      <w:r>
        <w:rPr>
          <w:rFonts w:ascii="仿宋" w:hAnsi="仿宋" w:eastAsia="仿宋" w:cs="仿宋_GB2312"/>
          <w:sz w:val="32"/>
          <w:szCs w:val="32"/>
        </w:rPr>
        <w:t>保洁员</w:t>
      </w:r>
      <w:r>
        <w:rPr>
          <w:rFonts w:hint="eastAsia" w:ascii="仿宋" w:hAnsi="仿宋" w:eastAsia="仿宋" w:cs="仿宋_GB2312"/>
          <w:sz w:val="32"/>
          <w:szCs w:val="32"/>
        </w:rPr>
        <w:t>加强了管理，细化了选聘条件和管理办法，要求各镇办严格日常考核管理，监督组织开展村内垃圾定期清理，基本实现乡村环卫保洁常态化；三是购置垃圾清理设备。全区214个行政村拥有垃圾清运车辆30多辆，户用垃圾桶、垃圾箱</w:t>
      </w:r>
      <w:r>
        <w:rPr>
          <w:rFonts w:ascii="仿宋" w:hAnsi="仿宋" w:eastAsia="仿宋" w:cs="仿宋_GB2312"/>
          <w:sz w:val="32"/>
          <w:szCs w:val="32"/>
        </w:rPr>
        <w:t>8</w:t>
      </w:r>
      <w:r>
        <w:rPr>
          <w:rFonts w:hint="eastAsia" w:ascii="仿宋" w:hAnsi="仿宋" w:eastAsia="仿宋" w:cs="仿宋_GB2312"/>
          <w:sz w:val="32"/>
          <w:szCs w:val="32"/>
        </w:rPr>
        <w:t>000多个，解决了农户垃圾乱扔乱倒问题，提升村庄环境水平。进一步完善村规民约，明确村民清理村庄环境卫生的义务，严格门前“三包”制度。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_GB2312"/>
          <w:b/>
          <w:bCs/>
          <w:sz w:val="32"/>
          <w:szCs w:val="32"/>
        </w:rPr>
      </w:pPr>
      <w:r>
        <w:rPr>
          <w:rFonts w:hint="eastAsia" w:ascii="仿宋" w:hAnsi="仿宋" w:eastAsia="仿宋" w:cs="仿宋_GB2312"/>
          <w:b/>
          <w:bCs/>
          <w:sz w:val="32"/>
          <w:szCs w:val="32"/>
        </w:rPr>
        <w:t>二、持续改善农村基础设施建设。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b/>
          <w:bCs/>
          <w:sz w:val="32"/>
          <w:szCs w:val="32"/>
        </w:rPr>
      </w:pPr>
      <w:r>
        <w:rPr>
          <w:rFonts w:hint="eastAsia" w:ascii="仿宋" w:hAnsi="仿宋" w:eastAsia="仿宋" w:cs="仿宋_GB2312"/>
          <w:sz w:val="32"/>
          <w:szCs w:val="32"/>
        </w:rPr>
        <w:t>围绕人居环境整治基础设施和公共服务提升三年行动计划，重点实施了农村水利、电力、道路、燃气、通信等基础设施改造和教育、卫生、文化等公共服务提升工程。全区林草覆盖率达到32%，农村自来水普及率达到100%，自然村通动力电率达到90%，综合电压合格率达到98%以上，全区已经实现入村道路硬化率达到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三、有序推进村庄规划编制。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按照美丽宜居村庄、一般村庄、分散或规模较小村庄分类编制规划，全区所有行政村实现了村庄人居环境整治规划全覆盖。我区出台了《横山县村庄规划编制实施意见的通知》，坚持高标准完成规划编制任务，目前完成了25个A类村庄建设规划，并通过了专家评审，完成C类村庄规划20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_GB2312"/>
          <w:b/>
          <w:bCs/>
          <w:sz w:val="32"/>
          <w:szCs w:val="32"/>
        </w:rPr>
      </w:pPr>
      <w:r>
        <w:rPr>
          <w:rFonts w:hint="eastAsia" w:ascii="仿宋" w:hAnsi="仿宋" w:eastAsia="仿宋" w:cs="仿宋_GB2312"/>
          <w:b/>
          <w:bCs/>
          <w:sz w:val="32"/>
          <w:szCs w:val="32"/>
        </w:rPr>
        <w:t>四、加大宣传，提高思想认识。</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加强宣传，进一步加强农村新民风建设，加大环境保护宣传力度，整治“脏、乱、差”现象，提升村民垃圾治理意识，提高村民环境保护的综合素质。通过宣传教育，进一步转变农民的传统观念，不断地改变不良的卫生生活习惯。</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eastAsia="仿宋_GB2312" w:hAnsiTheme="minorEastAsia" w:cstheme="minorEastAsia"/>
          <w:color w:val="000000"/>
          <w:sz w:val="32"/>
          <w:szCs w:val="32"/>
        </w:rPr>
        <w:t>感谢您对农业农村工作的关心和支持！</w:t>
      </w:r>
    </w:p>
    <w:p>
      <w:pPr>
        <w:pBdr>
          <w:bottom w:val="single" w:color="FFFFFF" w:sz="4" w:space="31"/>
        </w:pBdr>
        <w:spacing w:line="520" w:lineRule="exact"/>
        <w:rPr>
          <w:rFonts w:hint="eastAsia" w:ascii="仿宋" w:hAnsi="仿宋" w:eastAsia="仿宋"/>
          <w:sz w:val="32"/>
          <w:szCs w:val="32"/>
        </w:rPr>
      </w:pPr>
    </w:p>
    <w:p>
      <w:pPr>
        <w:pBdr>
          <w:bottom w:val="single" w:color="FFFFFF" w:sz="4" w:space="31"/>
        </w:pBdr>
        <w:spacing w:line="560" w:lineRule="exact"/>
        <w:ind w:firstLine="4160" w:firstLineChars="1300"/>
        <w:rPr>
          <w:rFonts w:ascii="仿宋" w:hAnsi="仿宋" w:eastAsia="仿宋"/>
          <w:sz w:val="32"/>
          <w:szCs w:val="32"/>
        </w:rPr>
      </w:pPr>
      <w:r>
        <w:rPr>
          <w:rFonts w:hint="eastAsia" w:ascii="仿宋" w:hAnsi="仿宋" w:eastAsia="仿宋"/>
          <w:sz w:val="32"/>
          <w:szCs w:val="32"/>
        </w:rPr>
        <w:t>榆林市横山区农业农村局</w:t>
      </w:r>
    </w:p>
    <w:p>
      <w:pPr>
        <w:pBdr>
          <w:bottom w:val="single" w:color="FFFFFF" w:sz="4" w:space="31"/>
        </w:pBdr>
        <w:spacing w:line="560" w:lineRule="exact"/>
        <w:ind w:firstLine="4800" w:firstLineChars="150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22</w:t>
      </w:r>
      <w:r>
        <w:rPr>
          <w:rFonts w:hint="eastAsia" w:ascii="仿宋" w:hAnsi="仿宋" w:eastAsia="仿宋"/>
          <w:sz w:val="32"/>
          <w:szCs w:val="32"/>
        </w:rPr>
        <w:t>日</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陈光龙</w:t>
      </w: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lang w:val="en-US" w:eastAsia="zh-CN"/>
        </w:rPr>
        <w:t>13109692180</w:t>
      </w:r>
      <w:r>
        <w:rPr>
          <w:rFonts w:hint="eastAsia" w:ascii="仿宋_GB2312" w:hAnsi="仿宋_GB2312" w:eastAsia="仿宋_GB2312" w:cs="仿宋_GB2312"/>
          <w:color w:val="auto"/>
          <w:sz w:val="32"/>
          <w:szCs w:val="32"/>
        </w:rPr>
        <w:t>）</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r>
        <w:rPr>
          <w:rFonts w:hint="eastAsia" w:ascii="仿宋_GB2312" w:hAnsi="宋体" w:eastAsia="仿宋_GB2312" w:cs="宋体"/>
          <w:color w:val="000000"/>
          <w:kern w:val="0"/>
          <w:sz w:val="32"/>
          <w:szCs w:val="32"/>
        </w:rPr>
        <w:t>（抄送：区政协提案委，区政府办）</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B1661"/>
    <w:multiLevelType w:val="multilevel"/>
    <w:tmpl w:val="5CCB1661"/>
    <w:lvl w:ilvl="0" w:tentative="0">
      <w:start w:val="1"/>
      <w:numFmt w:val="japaneseCounting"/>
      <w:lvlText w:val="%1、"/>
      <w:lvlJc w:val="left"/>
      <w:pPr>
        <w:ind w:left="1429" w:hanging="720"/>
      </w:pPr>
      <w:rPr>
        <w:rFonts w:hint="default" w:cs="仿宋_GB2312"/>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iMjg5ZGRmZjZkMjk2NTExMTBjZDgzM2ZhNmZiMzAifQ=="/>
  </w:docVars>
  <w:rsids>
    <w:rsidRoot w:val="001B76BA"/>
    <w:rsid w:val="0000273A"/>
    <w:rsid w:val="001B76BA"/>
    <w:rsid w:val="002D1BDE"/>
    <w:rsid w:val="00A2310F"/>
    <w:rsid w:val="07157FA4"/>
    <w:rsid w:val="2DAE25A7"/>
    <w:rsid w:val="2F9C2FC5"/>
    <w:rsid w:val="36C83DA2"/>
    <w:rsid w:val="4D115CB9"/>
    <w:rsid w:val="72B2329C"/>
    <w:rsid w:val="753C7841"/>
    <w:rsid w:val="7FBC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560" w:lineRule="exact"/>
    </w:pPr>
    <w:rPr>
      <w:rFonts w:eastAsia="仿宋_GB2312"/>
      <w:sz w:val="32"/>
    </w:rPr>
  </w:style>
  <w:style w:type="paragraph" w:styleId="4">
    <w:name w:val="Body Text Indent"/>
    <w:basedOn w:val="1"/>
    <w:qFormat/>
    <w:uiPriority w:val="0"/>
    <w:pPr>
      <w:ind w:firstLine="540"/>
    </w:pPr>
    <w:rPr>
      <w:rFonts w:ascii="隶书" w:hAnsi="黑体" w:eastAsia="隶书" w:cs="黑体"/>
      <w:sz w:val="32"/>
      <w:szCs w:val="20"/>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4"/>
    <w:next w:val="1"/>
    <w:qFormat/>
    <w:uiPriority w:val="0"/>
    <w:pPr>
      <w:ind w:left="0" w:leftChars="0" w:firstLine="643" w:firstLineChars="200"/>
    </w:pPr>
    <w:rPr>
      <w:rFonts w:ascii="Times New Roman" w:hAnsi="Times New Roman"/>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1286</Words>
  <Characters>1341</Characters>
  <Lines>9</Lines>
  <Paragraphs>2</Paragraphs>
  <TotalTime>1</TotalTime>
  <ScaleCrop>false</ScaleCrop>
  <LinksUpToDate>false</LinksUpToDate>
  <CharactersWithSpaces>1435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2023-06-06T07:13:00Z</dcterms:created>
  <dc:creator>411731970@qq.com</dc:creator>
  <cp:lastModifiedBy>Lenovo</cp:lastModifiedBy>
  <dcterms:modified xsi:type="dcterms:W3CDTF">2023-06-20T08:35:47Z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49EF91AD7E154D32B48B122590D1B40E_13</vt:lpwstr>
  </property>
</Properties>
</file>