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Hlk147566642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李家坬村日光温室大棚工程</w:t>
      </w:r>
      <w:r>
        <w:rPr>
          <w:rFonts w:hint="eastAsia" w:ascii="仿宋" w:hAnsi="仿宋" w:eastAsia="仿宋" w:cs="仿宋_GB2312"/>
          <w:sz w:val="32"/>
          <w:szCs w:val="32"/>
        </w:rPr>
        <w:t>竣工结算</w:t>
      </w:r>
      <w:r>
        <w:rPr>
          <w:rFonts w:hint="eastAsia" w:ascii="仿宋" w:hAnsi="仿宋" w:eastAsia="仿宋" w:cs="仿宋"/>
          <w:sz w:val="32"/>
          <w:szCs w:val="32"/>
        </w:rPr>
        <w:t>审计结果公告</w:t>
      </w:r>
      <w:bookmarkEnd w:id="0"/>
    </w:p>
    <w:p>
      <w:pPr>
        <w:snapToGrid w:val="0"/>
        <w:spacing w:line="600" w:lineRule="exact"/>
        <w:jc w:val="center"/>
        <w:rPr>
          <w:rFonts w:hint="eastAsia" w:ascii="仿宋" w:hAnsi="仿宋" w:eastAsia="仿宋" w:cs="仿宋_GB2312"/>
          <w:kern w:val="3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  </w:t>
      </w:r>
      <w:bookmarkStart w:id="1" w:name="_Hlk147566675"/>
      <w:r>
        <w:rPr>
          <w:rFonts w:hint="eastAsia" w:ascii="仿宋" w:hAnsi="仿宋" w:eastAsia="仿宋"/>
          <w:sz w:val="32"/>
          <w:szCs w:val="32"/>
        </w:rPr>
        <w:t>〔2023年第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</w:t>
      </w:r>
      <w:bookmarkStart w:id="4" w:name="_GoBack"/>
      <w:bookmarkEnd w:id="4"/>
      <w:r>
        <w:rPr>
          <w:rFonts w:hint="eastAsia" w:ascii="仿宋" w:hAnsi="仿宋" w:eastAsia="仿宋"/>
          <w:sz w:val="32"/>
          <w:szCs w:val="32"/>
        </w:rPr>
        <w:t>号〕</w:t>
      </w:r>
      <w:bookmarkEnd w:id="1"/>
    </w:p>
    <w:p>
      <w:pPr>
        <w:tabs>
          <w:tab w:val="left" w:pos="1418"/>
        </w:tabs>
        <w:ind w:right="-146" w:rightChars="-73" w:firstLine="622" w:firstLineChars="200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30"/>
          <w:sz w:val="32"/>
          <w:szCs w:val="32"/>
          <w:lang w:val="en-US" w:eastAsia="zh-CN"/>
        </w:rPr>
        <w:t>根据《中华人民共和国审计法》第二十三条的规定，我局</w:t>
      </w:r>
      <w:r>
        <w:rPr>
          <w:rFonts w:hint="eastAsia" w:ascii="仿宋" w:hAnsi="仿宋" w:eastAsia="仿宋" w:cs="仿宋_GB2312"/>
          <w:sz w:val="32"/>
          <w:szCs w:val="32"/>
        </w:rPr>
        <w:t>于202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sz w:val="32"/>
          <w:szCs w:val="32"/>
        </w:rPr>
        <w:t>日至202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</w:rPr>
        <w:t>日,对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夏州街道办事处报送的李家坬村日光温室大棚工程</w:t>
      </w:r>
      <w:r>
        <w:rPr>
          <w:rFonts w:hint="eastAsia" w:ascii="仿宋" w:hAnsi="仿宋" w:eastAsia="仿宋" w:cs="仿宋_GB2312"/>
          <w:sz w:val="32"/>
          <w:szCs w:val="32"/>
        </w:rPr>
        <w:t>竣工结算进行了审计。</w:t>
      </w:r>
      <w:bookmarkStart w:id="2" w:name="_Hlk147566584"/>
      <w:bookmarkStart w:id="3" w:name="_Hlk147566955"/>
      <w:r>
        <w:rPr>
          <w:rFonts w:hint="eastAsia" w:ascii="仿宋" w:hAnsi="仿宋" w:eastAsia="仿宋"/>
          <w:bCs/>
          <w:sz w:val="32"/>
          <w:szCs w:val="32"/>
        </w:rPr>
        <w:t>现将审计结果公告如下：</w:t>
      </w:r>
      <w:bookmarkEnd w:id="2"/>
      <w:bookmarkEnd w:id="3"/>
    </w:p>
    <w:p>
      <w:pPr>
        <w:tabs>
          <w:tab w:val="left" w:pos="3280"/>
          <w:tab w:val="left" w:pos="5307"/>
        </w:tabs>
        <w:autoSpaceDE w:val="0"/>
        <w:autoSpaceDN w:val="0"/>
        <w:adjustRightInd w:val="0"/>
        <w:spacing w:line="360" w:lineRule="auto"/>
        <w:ind w:firstLine="622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一、基本情况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ab/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ab/>
      </w:r>
    </w:p>
    <w:p>
      <w:pPr>
        <w:ind w:firstLine="622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夏州街道办事处李家坬村日光温室大棚工程总占地面积70.932亩。该项目于2022年6月经区行政审批服务局批复项目实施方案，批复投资390.23万元，资金来源为2022年第三批市级统筹整合财政衔接资金300万元，剩余部分由办事处自筹解决（横政审批投发〔2022〕55号）。该项目施工图由陕西开源隆泰水利设计有限公司设计，2022年6月经区财政投资评审中心审核确定该项目招标控制价为283.96万元（横政财评函〔2022〕52号）。2022年6月区发展改革和科技局批复该项目招标实施方案，并确定招标方式为邀请招标（横政发科发〔2022〕157号）。2022年6月委托由榆林祥辰锐项目管理有限公司组织邀请招标，由陕西开润盛世实业有限公司中标承建，合同价2837379.53元。完成建设内容包括温室大棚10座（长80米、宽12米）、硬化田间道路和场区停车场、卷帘机等机电设备及安装工程、卫生厕所4间、示范基地标识牌等；变更增加内容为温棚地圈梁、背墙加强柱、土方外运等内容。监理业务由陕西迟展项目管理有限公司承担。2022年7月开工，2022年11月完工。2022年12月通过初验。</w:t>
      </w:r>
    </w:p>
    <w:p>
      <w:pPr>
        <w:autoSpaceDE w:val="0"/>
        <w:autoSpaceDN w:val="0"/>
        <w:adjustRightInd w:val="0"/>
        <w:ind w:firstLine="622" w:firstLineChars="200"/>
        <w:jc w:val="lef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该项目送审总投资3260944.21元,其中：建安工程投资3092344.21元,待摊投资168600元（设计费90000元、监理费56600元、招标代理费22000元）。 </w:t>
      </w:r>
    </w:p>
    <w:p>
      <w:pPr>
        <w:ind w:firstLine="622" w:firstLineChars="20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审计发现的主要问题及</w:t>
      </w:r>
    </w:p>
    <w:p>
      <w:pPr>
        <w:widowControl/>
        <w:ind w:firstLine="622" w:firstLineChars="200"/>
        <w:jc w:val="lef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/>
          <w:sz w:val="32"/>
          <w:szCs w:val="32"/>
        </w:rPr>
        <w:t>多计建安工程投资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52092.87</w:t>
      </w:r>
      <w:r>
        <w:rPr>
          <w:rFonts w:hint="eastAsia" w:ascii="楷体" w:hAnsi="楷体" w:eastAsia="楷体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60" w:lineRule="exact"/>
        <w:ind w:right="0" w:rightChars="0" w:firstLine="622" w:firstLineChars="200"/>
        <w:jc w:val="left"/>
        <w:textAlignment w:val="auto"/>
        <w:outlineLvl w:val="9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/>
          <w:sz w:val="32"/>
          <w:szCs w:val="32"/>
        </w:rPr>
        <w:t>部分建设资金未足额落实到位，仍</w:t>
      </w:r>
      <w:r>
        <w:rPr>
          <w:rFonts w:hint="eastAsia" w:ascii="楷体" w:hAnsi="楷体" w:eastAsia="楷体" w:cs="Times New Roman"/>
          <w:sz w:val="32"/>
          <w:szCs w:val="32"/>
        </w:rPr>
        <w:t>存在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208851.34</w:t>
      </w:r>
      <w:r>
        <w:rPr>
          <w:rFonts w:hint="eastAsia" w:ascii="楷体" w:hAnsi="楷体" w:eastAsia="楷体" w:cs="Times New Roman"/>
          <w:sz w:val="32"/>
          <w:szCs w:val="32"/>
        </w:rPr>
        <w:t>元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的资金</w:t>
      </w:r>
      <w:r>
        <w:rPr>
          <w:rFonts w:hint="eastAsia" w:ascii="楷体" w:hAnsi="楷体" w:eastAsia="楷体" w:cs="Times New Roman"/>
          <w:sz w:val="32"/>
          <w:szCs w:val="32"/>
        </w:rPr>
        <w:t>缺口</w:t>
      </w:r>
    </w:p>
    <w:p>
      <w:pPr>
        <w:ind w:right="-146" w:rightChars="-73" w:firstLine="622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kern w:val="11"/>
          <w:sz w:val="32"/>
          <w:szCs w:val="32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18"/>
          <w:highlight w:val="none"/>
          <w:lang w:val="en-US" w:eastAsia="zh-CN" w:bidi="ar-SA"/>
        </w:rPr>
      </w:pPr>
    </w:p>
    <w:sectPr>
      <w:footerReference r:id="rId5" w:type="first"/>
      <w:headerReference r:id="rId3" w:type="default"/>
      <w:footerReference r:id="rId4" w:type="default"/>
      <w:pgSz w:w="11907" w:h="16840"/>
      <w:pgMar w:top="1985" w:right="1531" w:bottom="1928" w:left="1531" w:header="1247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567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jc w:val="right"/>
                            <w:rPr>
                              <w:rStyle w:val="12"/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jc w:val="right"/>
                      <w:rPr>
                        <w:rStyle w:val="12"/>
                        <w:rFonts w:hint="default" w:ascii="Times New Roman" w:hAnsi="Times New Roman" w:cs="Times New Roman"/>
                      </w:rPr>
                    </w:pP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4906010</wp:posOffset>
              </wp:positionH>
              <wp:positionV relativeFrom="paragraph">
                <wp:posOffset>0</wp:posOffset>
              </wp:positionV>
              <wp:extent cx="638175" cy="222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3pt;margin-top:0pt;height:17.55pt;width:50.25pt;mso-position-horizontal-relative:margin;z-index:251660288;mso-width-relative:page;mso-height-relative:page;" filled="f" stroked="f" coordsize="21600,21600" o:gfxdata="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kIL79cAAAAHAQAADwAAAAAAAAABACAAAAAiAAAAZHJzL2Rvd25yZXYueG1sUEsBAhQA&#10;FAAAAAgAh07iQHQCRLO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NjlmZDU5MTAwMDViNjNhNjU4MTBjM2EzNDk5MGYifQ=="/>
  </w:docVars>
  <w:rsids>
    <w:rsidRoot w:val="79480478"/>
    <w:rsid w:val="04581884"/>
    <w:rsid w:val="05D34D35"/>
    <w:rsid w:val="06D544CB"/>
    <w:rsid w:val="09C82713"/>
    <w:rsid w:val="09CE52AE"/>
    <w:rsid w:val="0AF93A9B"/>
    <w:rsid w:val="0B095FCA"/>
    <w:rsid w:val="0EE75D75"/>
    <w:rsid w:val="0FD961A1"/>
    <w:rsid w:val="111A271C"/>
    <w:rsid w:val="11C21DFD"/>
    <w:rsid w:val="12D72169"/>
    <w:rsid w:val="1488076D"/>
    <w:rsid w:val="17B210A9"/>
    <w:rsid w:val="1CAE04EA"/>
    <w:rsid w:val="1D795BEB"/>
    <w:rsid w:val="1F225591"/>
    <w:rsid w:val="24F66BC4"/>
    <w:rsid w:val="26A83DFE"/>
    <w:rsid w:val="27D673CD"/>
    <w:rsid w:val="2818340F"/>
    <w:rsid w:val="29195E94"/>
    <w:rsid w:val="2A5D0EF8"/>
    <w:rsid w:val="2FA241A9"/>
    <w:rsid w:val="30900A03"/>
    <w:rsid w:val="31811A62"/>
    <w:rsid w:val="35546519"/>
    <w:rsid w:val="3B0A065C"/>
    <w:rsid w:val="420E6E15"/>
    <w:rsid w:val="434D73E5"/>
    <w:rsid w:val="44FF12E7"/>
    <w:rsid w:val="4B2B180C"/>
    <w:rsid w:val="4E0869C9"/>
    <w:rsid w:val="516445F8"/>
    <w:rsid w:val="536551CC"/>
    <w:rsid w:val="537C14E3"/>
    <w:rsid w:val="5A1C10F1"/>
    <w:rsid w:val="5D9F205A"/>
    <w:rsid w:val="5EDC2A36"/>
    <w:rsid w:val="62E1353B"/>
    <w:rsid w:val="677F4034"/>
    <w:rsid w:val="68825236"/>
    <w:rsid w:val="692A2362"/>
    <w:rsid w:val="69FC4AA0"/>
    <w:rsid w:val="6B406BC2"/>
    <w:rsid w:val="70BA4035"/>
    <w:rsid w:val="719A1B61"/>
    <w:rsid w:val="728221C1"/>
    <w:rsid w:val="72953CC6"/>
    <w:rsid w:val="72B552CA"/>
    <w:rsid w:val="72FB2823"/>
    <w:rsid w:val="78D16B4C"/>
    <w:rsid w:val="79480478"/>
    <w:rsid w:val="7CEA701F"/>
    <w:rsid w:val="7DB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widowControl w:val="0"/>
      <w:spacing w:line="579" w:lineRule="exact"/>
      <w:ind w:firstLine="480" w:firstLineChars="200"/>
      <w:jc w:val="both"/>
      <w:outlineLvl w:val="1"/>
    </w:pPr>
    <w:rPr>
      <w:rFonts w:ascii="Arial" w:hAnsi="Arial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</w:rPr>
  </w:style>
  <w:style w:type="paragraph" w:styleId="4">
    <w:name w:val="Body Text Indent"/>
    <w:basedOn w:val="1"/>
    <w:next w:val="5"/>
    <w:qFormat/>
    <w:uiPriority w:val="0"/>
    <w:pPr>
      <w:ind w:firstLine="540"/>
    </w:pPr>
    <w:rPr>
      <w:sz w:val="30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footnote text"/>
    <w:basedOn w:val="1"/>
    <w:next w:val="5"/>
    <w:autoRedefine/>
    <w:semiHidden/>
    <w:qFormat/>
    <w:uiPriority w:val="0"/>
    <w:pPr>
      <w:snapToGrid w:val="0"/>
      <w:jc w:val="left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ind w:left="-178" w:leftChars="-85" w:firstLine="542" w:firstLineChars="180"/>
    </w:pPr>
    <w:rPr>
      <w:rFonts w:ascii="仿宋_GB2312" w:hAnsi="宋体" w:eastAsia="仿宋_GB2312"/>
      <w:b/>
      <w:bCs/>
      <w:sz w:val="30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Char1"/>
    <w:basedOn w:val="1"/>
    <w:autoRedefine/>
    <w:qFormat/>
    <w:uiPriority w:val="0"/>
  </w:style>
  <w:style w:type="paragraph" w:customStyle="1" w:styleId="14">
    <w:name w:val="发文单位"/>
    <w:autoRedefine/>
    <w:qFormat/>
    <w:uiPriority w:val="99"/>
    <w:pPr>
      <w:widowControl w:val="0"/>
      <w:adjustRightInd w:val="0"/>
      <w:spacing w:before="120" w:after="120" w:line="560" w:lineRule="atLeast"/>
      <w:jc w:val="center"/>
    </w:pPr>
    <w:rPr>
      <w:rFonts w:ascii="黑体" w:hAnsi="Calibri" w:eastAsia="黑体" w:cs="Calibri"/>
      <w:color w:val="FF0000"/>
      <w:spacing w:val="60"/>
      <w:sz w:val="52"/>
      <w:szCs w:val="52"/>
      <w:lang w:val="en-US" w:eastAsia="zh-CN" w:bidi="ar-SA"/>
    </w:rPr>
  </w:style>
  <w:style w:type="paragraph" w:customStyle="1" w:styleId="15">
    <w:name w:val="文书类型"/>
    <w:autoRedefine/>
    <w:qFormat/>
    <w:uiPriority w:val="99"/>
    <w:pPr>
      <w:widowControl w:val="0"/>
      <w:adjustRightInd w:val="0"/>
      <w:spacing w:before="120" w:after="180" w:line="560" w:lineRule="atLeast"/>
      <w:jc w:val="center"/>
    </w:pPr>
    <w:rPr>
      <w:rFonts w:ascii="黑体" w:hAnsi="Calibri" w:eastAsia="黑体" w:cs="Calibri"/>
      <w:color w:val="FF0000"/>
      <w:spacing w:val="120"/>
      <w:sz w:val="84"/>
      <w:szCs w:val="84"/>
      <w:lang w:val="en-US" w:eastAsia="zh-CN" w:bidi="ar-SA"/>
    </w:rPr>
  </w:style>
  <w:style w:type="character" w:customStyle="1" w:styleId="16">
    <w:name w:val="font11"/>
    <w:basedOn w:val="11"/>
    <w:qFormat/>
    <w:uiPriority w:val="0"/>
    <w:rPr>
      <w:rFonts w:hint="eastAsia" w:ascii="仿宋" w:hAnsi="仿宋" w:eastAsia="仿宋" w:cs="仿宋"/>
      <w:b/>
      <w:color w:val="000000"/>
      <w:sz w:val="36"/>
      <w:szCs w:val="36"/>
      <w:u w:val="none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1941</Words>
  <Characters>2119</Characters>
  <Lines>0</Lines>
  <Paragraphs>0</Paragraphs>
  <TotalTime>0</TotalTime>
  <ScaleCrop>false</ScaleCrop>
  <LinksUpToDate>false</LinksUpToDate>
  <CharactersWithSpaces>2306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2022-01-20T01:14:00Z</dcterms:created>
  <dc:creator>Lenovo</dc:creator>
  <cp:lastModifiedBy>Michael Li</cp:lastModifiedBy>
  <cp:lastPrinted>2023-07-28T07:52:00Z</cp:lastPrinted>
  <dcterms:modified xsi:type="dcterms:W3CDTF">2024-05-06T02:09:52Z</dcterms:modified>
  <dc:title>横政审报〔2023〕30号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F5A7381B5D994EFB96AC07D8AEAA594E_13</vt:lpwstr>
  </property>
</Properties>
</file>