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仿宋" w:hAnsi="仿宋" w:eastAsia="仿宋" w:cs="仿宋"/>
          <w:sz w:val="32"/>
          <w:szCs w:val="32"/>
        </w:rPr>
      </w:pPr>
      <w:bookmarkStart w:id="0" w:name="_Hlk147566642"/>
      <w:bookmarkStart w:id="1" w:name="_Hlk147566828"/>
      <w:r>
        <w:rPr>
          <w:rFonts w:hint="eastAsia" w:ascii="仿宋" w:hAnsi="仿宋" w:eastAsia="仿宋" w:cs="仿宋_GB2312"/>
          <w:sz w:val="32"/>
          <w:szCs w:val="32"/>
          <w:lang w:val="en-US" w:eastAsia="zh-CN"/>
        </w:rPr>
        <w:t>双城办事处高效旱作节水项目竣工结算</w:t>
      </w:r>
      <w:r>
        <w:rPr>
          <w:rFonts w:hint="eastAsia" w:ascii="仿宋" w:hAnsi="仿宋" w:eastAsia="仿宋" w:cs="仿宋"/>
          <w:sz w:val="32"/>
          <w:szCs w:val="32"/>
        </w:rPr>
        <w:t>审计结果公告</w:t>
      </w:r>
      <w:bookmarkEnd w:id="0"/>
    </w:p>
    <w:p>
      <w:pPr>
        <w:snapToGrid w:val="0"/>
        <w:spacing w:line="600" w:lineRule="exact"/>
        <w:jc w:val="center"/>
        <w:rPr>
          <w:rFonts w:hint="eastAsia" w:ascii="仿宋" w:hAnsi="仿宋" w:eastAsia="仿宋" w:cs="仿宋_GB2312"/>
          <w:kern w:val="30"/>
          <w:sz w:val="32"/>
          <w:szCs w:val="32"/>
          <w:lang w:val="en-US" w:eastAsia="zh-CN"/>
        </w:rPr>
      </w:pPr>
      <w:r>
        <w:rPr>
          <w:rFonts w:hint="eastAsia" w:ascii="仿宋" w:hAnsi="仿宋" w:eastAsia="仿宋" w:cs="仿宋"/>
          <w:sz w:val="32"/>
          <w:szCs w:val="32"/>
        </w:rPr>
        <w:t xml:space="preserve"> </w:t>
      </w:r>
      <w:r>
        <w:rPr>
          <w:rFonts w:ascii="仿宋" w:hAnsi="仿宋" w:eastAsia="仿宋" w:cs="仿宋"/>
          <w:sz w:val="32"/>
          <w:szCs w:val="32"/>
        </w:rPr>
        <w:t xml:space="preserve">                                       </w:t>
      </w:r>
      <w:bookmarkStart w:id="2" w:name="_Hlk147566675"/>
      <w:r>
        <w:rPr>
          <w:rFonts w:hint="eastAsia" w:ascii="仿宋" w:hAnsi="仿宋" w:eastAsia="仿宋"/>
          <w:sz w:val="32"/>
          <w:szCs w:val="32"/>
        </w:rPr>
        <w:t>〔2023年第</w:t>
      </w:r>
      <w:r>
        <w:rPr>
          <w:rFonts w:hint="eastAsia" w:ascii="仿宋" w:hAnsi="仿宋" w:eastAsia="仿宋"/>
          <w:sz w:val="32"/>
          <w:szCs w:val="32"/>
          <w:lang w:val="en-US" w:eastAsia="zh-CN"/>
        </w:rPr>
        <w:t>36</w:t>
      </w:r>
      <w:bookmarkStart w:id="4" w:name="_GoBack"/>
      <w:bookmarkEnd w:id="4"/>
      <w:r>
        <w:rPr>
          <w:rFonts w:hint="eastAsia" w:ascii="仿宋" w:hAnsi="仿宋" w:eastAsia="仿宋"/>
          <w:sz w:val="32"/>
          <w:szCs w:val="32"/>
        </w:rPr>
        <w:t>号〕</w:t>
      </w:r>
      <w:bookmarkEnd w:id="1"/>
      <w:bookmarkEnd w:id="2"/>
    </w:p>
    <w:p>
      <w:pPr>
        <w:autoSpaceDE w:val="0"/>
        <w:autoSpaceDN w:val="0"/>
        <w:adjustRightInd w:val="0"/>
        <w:spacing w:line="360" w:lineRule="auto"/>
        <w:ind w:firstLine="622" w:firstLineChars="200"/>
        <w:rPr>
          <w:rFonts w:hint="eastAsia" w:ascii="仿宋" w:hAnsi="仿宋" w:eastAsia="仿宋" w:cs="仿宋_GB2312"/>
          <w:kern w:val="0"/>
          <w:sz w:val="32"/>
          <w:szCs w:val="32"/>
          <w:lang w:val="en-US" w:eastAsia="zh-CN"/>
        </w:rPr>
      </w:pPr>
      <w:r>
        <w:rPr>
          <w:rFonts w:hint="eastAsia" w:ascii="仿宋" w:hAnsi="仿宋" w:eastAsia="仿宋" w:cs="仿宋_GB2312"/>
          <w:kern w:val="30"/>
          <w:sz w:val="32"/>
          <w:szCs w:val="32"/>
          <w:lang w:val="en-US" w:eastAsia="zh-CN"/>
        </w:rPr>
        <w:t>根据《中华人民共和国审计法》第二十三条的规定，我局派出审计组于</w:t>
      </w:r>
      <w:r>
        <w:rPr>
          <w:rFonts w:hint="eastAsia" w:ascii="仿宋" w:hAnsi="仿宋" w:eastAsia="仿宋" w:cs="仿宋_GB2312"/>
          <w:sz w:val="32"/>
          <w:szCs w:val="32"/>
          <w:lang w:val="en-US" w:eastAsia="zh-CN"/>
        </w:rPr>
        <w:t>2023年3月17日至2023年7月18日</w:t>
      </w:r>
      <w:r>
        <w:rPr>
          <w:rFonts w:hint="eastAsia" w:ascii="仿宋" w:hAnsi="仿宋" w:eastAsia="仿宋" w:cs="仿宋_GB2312"/>
          <w:kern w:val="30"/>
          <w:sz w:val="32"/>
          <w:szCs w:val="32"/>
          <w:lang w:val="en-US" w:eastAsia="zh-CN"/>
        </w:rPr>
        <w:t>，</w:t>
      </w:r>
      <w:r>
        <w:rPr>
          <w:rFonts w:hint="eastAsia" w:ascii="仿宋" w:hAnsi="仿宋" w:eastAsia="仿宋" w:cs="仿宋_GB2312"/>
          <w:sz w:val="32"/>
          <w:szCs w:val="32"/>
          <w:lang w:val="en-US" w:eastAsia="zh-CN"/>
        </w:rPr>
        <w:t>对榆林市横山区双城办事处对报送的双城办事处高效旱作节水项目竣工结算进行了审计</w:t>
      </w:r>
      <w:r>
        <w:rPr>
          <w:rFonts w:hint="eastAsia" w:ascii="仿宋" w:hAnsi="仿宋" w:eastAsia="仿宋" w:cs="仿宋_GB2312"/>
          <w:kern w:val="30"/>
          <w:sz w:val="32"/>
          <w:szCs w:val="32"/>
          <w:lang w:val="en-US" w:eastAsia="zh-CN"/>
        </w:rPr>
        <w:t>。</w:t>
      </w:r>
      <w:bookmarkStart w:id="3" w:name="_Hlk147566584"/>
      <w:r>
        <w:rPr>
          <w:rFonts w:hint="eastAsia" w:ascii="仿宋" w:hAnsi="仿宋" w:eastAsia="仿宋"/>
          <w:bCs/>
          <w:sz w:val="32"/>
          <w:szCs w:val="32"/>
        </w:rPr>
        <w:t>现将审计结果公告如下：</w:t>
      </w:r>
      <w:bookmarkEnd w:id="3"/>
    </w:p>
    <w:p>
      <w:pPr>
        <w:tabs>
          <w:tab w:val="left" w:pos="3280"/>
          <w:tab w:val="left" w:pos="5307"/>
        </w:tabs>
        <w:autoSpaceDE w:val="0"/>
        <w:autoSpaceDN w:val="0"/>
        <w:adjustRightInd w:val="0"/>
        <w:spacing w:line="360" w:lineRule="auto"/>
        <w:ind w:firstLine="622" w:firstLineChars="200"/>
        <w:jc w:val="left"/>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一、基本情况</w:t>
      </w:r>
      <w:r>
        <w:rPr>
          <w:rFonts w:ascii="黑体" w:hAnsi="黑体" w:eastAsia="黑体" w:cs="黑体"/>
          <w:bCs/>
          <w:color w:val="000000"/>
          <w:kern w:val="0"/>
          <w:sz w:val="32"/>
          <w:szCs w:val="32"/>
        </w:rPr>
        <w:tab/>
      </w:r>
      <w:r>
        <w:rPr>
          <w:rFonts w:ascii="黑体" w:hAnsi="黑体" w:eastAsia="黑体" w:cs="黑体"/>
          <w:bCs/>
          <w:color w:val="000000"/>
          <w:kern w:val="0"/>
          <w:sz w:val="32"/>
          <w:szCs w:val="32"/>
        </w:rPr>
        <w:tab/>
      </w:r>
    </w:p>
    <w:p>
      <w:pPr>
        <w:ind w:left="-6" w:leftChars="-3" w:firstLine="622"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双城办事处高效旱作节水项目位于双城办事处王梁村，2022年3月市农业局出具了项目实施方案审核意见（榆政农函〔2022〕23号）。该项目累计落实建设资金835万元，其中2022年4月区巩固拓展脱贫攻坚成果同乡村振兴有效衔接工作领导小组下达第三批统筹整合财政涉农资金585万元，2023年1月陕西榆林能源集团有限责任公司拨入帮扶资金250万元。</w:t>
      </w:r>
    </w:p>
    <w:p>
      <w:pPr>
        <w:ind w:left="-6" w:leftChars="-3" w:firstLine="622"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2022年1月区财政投资评审中心对该项目预算进行了评审，确定PE塑料管工程招标控制价380万元；确定软体水窖工程招标控制价130.5万元；确定土建工程招标控制价230.5万元（横政财评函〔2022〕6号）。2022年4月区发科局批复了该项目招标实施方案。2022年5月委托榆林和泰雅工程项目管理有限公司进行招标，PE塑料管工程由靖边县达鑫通实业有限公司中标承建，合同价3797116.50元。主要实施内容包括:购置及安装DN125PE2.0MPA管道15897米、DN90PE0.8MPA管道28300米、DN63PE0.8MPA管道35989米、新建出水栓1056座及铺设DN63PE0.8MPA管1795.2米。软体水窖工程由国机亿龙（佛山）节能灌溉科技有限公司中标承建，合同价1302402元。主要实施内容包括:新建软体水窖7座，其中：1000立方米的软体水窖6座、2000立方米的软体水窖1座。土建工程由陕西达鑫通建筑有限公司中标承建，合同价2302668.26元。主要实施内容包括铺设上水管线DN100镀锌钢管6312米，DN50镀锌钢管1053米，软体水窖7座、田间管道土方工程，田间闸阀井49座、出水栓1056座、安装100KVA变压器1台，架设电线路200米，购置安装水泵12台。2022年6月开工，2022年8月完工，2022年11月通过初步验收。</w:t>
      </w:r>
    </w:p>
    <w:p>
      <w:pPr>
        <w:ind w:left="-6" w:leftChars="-3" w:firstLine="622" w:firstLineChars="200"/>
        <w:rPr>
          <w:rFonts w:hint="eastAsia" w:ascii="黑体" w:hAnsi="黑体" w:eastAsia="黑体" w:cs="黑体"/>
          <w:color w:val="000000"/>
          <w:kern w:val="0"/>
          <w:sz w:val="32"/>
          <w:szCs w:val="32"/>
        </w:rPr>
      </w:pPr>
      <w:r>
        <w:rPr>
          <w:rFonts w:hint="eastAsia" w:ascii="仿宋" w:hAnsi="仿宋" w:eastAsia="仿宋" w:cs="仿宋_GB2312"/>
          <w:sz w:val="32"/>
          <w:szCs w:val="32"/>
          <w:lang w:val="en-US" w:eastAsia="zh-CN"/>
        </w:rPr>
        <w:t>该项目送审建安工程投资7525515.14元，其中：PE塑料管工程3815124.51元、软体水窖工程1302402元、土建工程2407988.63元。</w:t>
      </w:r>
    </w:p>
    <w:p>
      <w:pPr>
        <w:autoSpaceDE w:val="0"/>
        <w:autoSpaceDN w:val="0"/>
        <w:adjustRightInd w:val="0"/>
        <w:ind w:firstLine="622" w:firstLineChars="200"/>
        <w:jc w:val="left"/>
        <w:rPr>
          <w:rFonts w:hint="eastAsia" w:ascii="黑体" w:hAnsi="黑体" w:eastAsia="黑体" w:cs="宋体"/>
          <w:bCs/>
          <w:color w:val="000000"/>
          <w:kern w:val="0"/>
          <w:sz w:val="32"/>
          <w:szCs w:val="32"/>
          <w:lang w:eastAsia="zh-CN"/>
        </w:rPr>
      </w:pPr>
      <w:r>
        <w:rPr>
          <w:rFonts w:hint="eastAsia" w:ascii="黑体" w:hAnsi="黑体" w:eastAsia="黑体" w:cs="黑体"/>
          <w:color w:val="000000"/>
          <w:kern w:val="0"/>
          <w:sz w:val="32"/>
          <w:szCs w:val="32"/>
        </w:rPr>
        <w:t>二、</w:t>
      </w:r>
      <w:r>
        <w:rPr>
          <w:rFonts w:hint="eastAsia" w:ascii="黑体" w:hAnsi="黑体" w:eastAsia="黑体" w:cs="宋体"/>
          <w:bCs/>
          <w:color w:val="000000"/>
          <w:kern w:val="0"/>
          <w:sz w:val="32"/>
          <w:szCs w:val="32"/>
          <w:lang w:val="en-US" w:eastAsia="zh-CN"/>
        </w:rPr>
        <w:t>根据</w:t>
      </w:r>
      <w:r>
        <w:rPr>
          <w:rFonts w:hint="eastAsia" w:ascii="黑体" w:hAnsi="黑体" w:eastAsia="黑体" w:cs="宋体"/>
          <w:bCs/>
          <w:color w:val="000000"/>
          <w:kern w:val="0"/>
          <w:sz w:val="32"/>
          <w:szCs w:val="32"/>
        </w:rPr>
        <w:t>审计发现的主要问题</w:t>
      </w:r>
    </w:p>
    <w:p>
      <w:pPr>
        <w:autoSpaceDE w:val="0"/>
        <w:autoSpaceDN w:val="0"/>
        <w:adjustRightInd w:val="0"/>
        <w:ind w:firstLine="622" w:firstLineChars="200"/>
        <w:jc w:val="left"/>
        <w:rPr>
          <w:rFonts w:hint="eastAsia" w:ascii="楷体" w:hAnsi="楷体" w:eastAsia="楷体" w:cs="宋体"/>
          <w:b w:val="0"/>
          <w:bCs w:val="0"/>
          <w:color w:val="000000"/>
          <w:kern w:val="0"/>
          <w:sz w:val="32"/>
          <w:szCs w:val="32"/>
        </w:rPr>
      </w:pPr>
      <w:r>
        <w:rPr>
          <w:rFonts w:hint="eastAsia" w:ascii="楷体" w:hAnsi="楷体" w:eastAsia="楷体" w:cs="宋体"/>
          <w:b w:val="0"/>
          <w:bCs w:val="0"/>
          <w:color w:val="000000"/>
          <w:kern w:val="0"/>
          <w:sz w:val="32"/>
          <w:szCs w:val="32"/>
          <w:lang w:eastAsia="zh-CN"/>
        </w:rPr>
        <w:t>（</w:t>
      </w:r>
      <w:r>
        <w:rPr>
          <w:rFonts w:hint="eastAsia" w:ascii="楷体" w:hAnsi="楷体" w:eastAsia="楷体" w:cs="宋体"/>
          <w:b w:val="0"/>
          <w:bCs w:val="0"/>
          <w:color w:val="000000"/>
          <w:kern w:val="0"/>
          <w:sz w:val="32"/>
          <w:szCs w:val="32"/>
          <w:lang w:val="en-US" w:eastAsia="zh-CN"/>
        </w:rPr>
        <w:t>一</w:t>
      </w:r>
      <w:r>
        <w:rPr>
          <w:rFonts w:hint="eastAsia" w:ascii="楷体" w:hAnsi="楷体" w:eastAsia="楷体" w:cs="宋体"/>
          <w:b w:val="0"/>
          <w:bCs w:val="0"/>
          <w:color w:val="000000"/>
          <w:kern w:val="0"/>
          <w:sz w:val="32"/>
          <w:szCs w:val="32"/>
          <w:lang w:eastAsia="zh-CN"/>
        </w:rPr>
        <w:t>）</w:t>
      </w:r>
      <w:r>
        <w:rPr>
          <w:rFonts w:hint="eastAsia" w:ascii="楷体" w:hAnsi="楷体" w:eastAsia="楷体" w:cs="宋体"/>
          <w:b w:val="0"/>
          <w:bCs w:val="0"/>
          <w:color w:val="000000"/>
          <w:kern w:val="0"/>
          <w:sz w:val="32"/>
          <w:szCs w:val="32"/>
        </w:rPr>
        <w:t>多计建安工程投资</w:t>
      </w:r>
      <w:r>
        <w:rPr>
          <w:rFonts w:hint="eastAsia" w:ascii="仿宋" w:hAnsi="仿宋" w:eastAsia="仿宋" w:cs="仿宋_GB2312"/>
          <w:b w:val="0"/>
          <w:bCs w:val="0"/>
          <w:sz w:val="32"/>
          <w:szCs w:val="32"/>
          <w:lang w:val="en-US" w:eastAsia="zh-CN"/>
        </w:rPr>
        <w:t>369801.56</w:t>
      </w:r>
      <w:r>
        <w:rPr>
          <w:rFonts w:hint="eastAsia" w:ascii="楷体" w:hAnsi="楷体" w:eastAsia="楷体" w:cs="宋体"/>
          <w:b w:val="0"/>
          <w:bCs w:val="0"/>
          <w:color w:val="000000"/>
          <w:kern w:val="0"/>
          <w:sz w:val="32"/>
          <w:szCs w:val="32"/>
        </w:rPr>
        <w:t>元</w:t>
      </w:r>
    </w:p>
    <w:p>
      <w:pPr>
        <w:autoSpaceDE w:val="0"/>
        <w:autoSpaceDN w:val="0"/>
        <w:adjustRightInd w:val="0"/>
        <w:ind w:firstLine="622" w:firstLineChars="200"/>
        <w:jc w:val="left"/>
        <w:rPr>
          <w:rFonts w:hint="eastAsia" w:ascii="楷体" w:hAnsi="楷体" w:eastAsia="楷体" w:cs="宋体"/>
          <w:b w:val="0"/>
          <w:bCs w:val="0"/>
          <w:color w:val="000000"/>
          <w:kern w:val="0"/>
          <w:sz w:val="32"/>
          <w:szCs w:val="32"/>
          <w:lang w:val="en-US" w:eastAsia="zh-CN"/>
        </w:rPr>
      </w:pPr>
      <w:r>
        <w:rPr>
          <w:rFonts w:hint="eastAsia" w:ascii="楷体" w:hAnsi="楷体" w:eastAsia="楷体" w:cs="宋体"/>
          <w:b w:val="0"/>
          <w:bCs w:val="0"/>
          <w:color w:val="000000"/>
          <w:kern w:val="0"/>
          <w:sz w:val="32"/>
          <w:szCs w:val="32"/>
          <w:lang w:val="en-US" w:eastAsia="zh-CN"/>
        </w:rPr>
        <w:t>（二）评标结束后未公示评标结果发布中标通知书</w:t>
      </w:r>
    </w:p>
    <w:p>
      <w:pPr>
        <w:pStyle w:val="2"/>
        <w:numPr>
          <w:ilvl w:val="0"/>
          <w:numId w:val="0"/>
        </w:numPr>
        <w:jc w:val="center"/>
        <w:rPr>
          <w:rFonts w:hint="eastAsia" w:ascii="Times New Roman" w:hAnsi="Times New Roman" w:eastAsia="仿宋_GB2312" w:cs="Times New Roman"/>
          <w:color w:val="000000"/>
          <w:kern w:val="2"/>
          <w:sz w:val="32"/>
          <w:szCs w:val="18"/>
          <w:highlight w:val="none"/>
          <w:lang w:val="en-US" w:eastAsia="zh-CN" w:bidi="ar-SA"/>
        </w:rPr>
      </w:pPr>
      <w:r>
        <w:rPr>
          <w:rFonts w:hint="eastAsia" w:cs="Times New Roman"/>
          <w:color w:val="000000"/>
          <w:kern w:val="2"/>
          <w:sz w:val="32"/>
          <w:szCs w:val="18"/>
          <w:highlight w:val="none"/>
          <w:lang w:val="en-US" w:eastAsia="zh-CN" w:bidi="ar-SA"/>
        </w:rPr>
        <w:t xml:space="preserve">                  </w:t>
      </w:r>
    </w:p>
    <w:sectPr>
      <w:footerReference r:id="rId5" w:type="first"/>
      <w:headerReference r:id="rId3" w:type="default"/>
      <w:footerReference r:id="rId4" w:type="default"/>
      <w:pgSz w:w="11907" w:h="16840"/>
      <w:pgMar w:top="1985" w:right="1531" w:bottom="1928" w:left="1531" w:header="1247" w:footer="1531" w:gutter="0"/>
      <w:pgBorders>
        <w:top w:val="none" w:sz="0" w:space="0"/>
        <w:left w:val="none" w:sz="0" w:space="0"/>
        <w:bottom w:val="none" w:sz="0" w:space="0"/>
        <w:right w:val="none" w:sz="0" w:space="0"/>
      </w:pgBorders>
      <w:pgNumType w:fmt="decimal"/>
      <w:cols w:space="720" w:num="1"/>
      <w:titlePg/>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5" w:leftChars="150" w:right="567"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210" w:leftChars="100" w:right="210" w:rightChars="100"/>
                            <w:jc w:val="right"/>
                            <w:rPr>
                              <w:rStyle w:val="12"/>
                              <w:rFonts w:hint="default" w:ascii="Times New Roman" w:hAnsi="Times New Roman" w:cs="Times New Roman"/>
                            </w:rPr>
                          </w:pPr>
                          <w:r>
                            <w:rPr>
                              <w:rStyle w:val="12"/>
                              <w:rFonts w:hint="eastAsia" w:ascii="仿宋_GB2312" w:hAnsi="仿宋_GB2312" w:eastAsia="仿宋_GB2312" w:cs="仿宋_GB2312"/>
                              <w:sz w:val="28"/>
                              <w:szCs w:val="28"/>
                            </w:rPr>
                            <w:t>—</w:t>
                          </w:r>
                          <w:r>
                            <w:rPr>
                              <w:rStyle w:val="12"/>
                              <w:rFonts w:hint="default" w:ascii="Times New Roman" w:hAnsi="Times New Roman" w:cs="Times New Roman"/>
                              <w:sz w:val="28"/>
                              <w:szCs w:val="28"/>
                            </w:rPr>
                            <w:t xml:space="preserve"> </w:t>
                          </w:r>
                          <w:r>
                            <w:rPr>
                              <w:rFonts w:hint="default" w:ascii="Times New Roman" w:hAnsi="Times New Roman" w:eastAsia="仿宋_GB2312" w:cs="Times New Roman"/>
                              <w:sz w:val="28"/>
                              <w:szCs w:val="28"/>
                            </w:rPr>
                            <w:fldChar w:fldCharType="begin"/>
                          </w:r>
                          <w:r>
                            <w:rPr>
                              <w:rStyle w:val="12"/>
                              <w:rFonts w:hint="default" w:ascii="Times New Roman" w:hAnsi="Times New Roman" w:eastAsia="仿宋_GB2312" w:cs="Times New Roman"/>
                              <w:sz w:val="28"/>
                              <w:szCs w:val="28"/>
                            </w:rPr>
                            <w:instrText xml:space="preserve">PAGE  </w:instrText>
                          </w:r>
                          <w:r>
                            <w:rPr>
                              <w:rFonts w:hint="default" w:ascii="Times New Roman" w:hAnsi="Times New Roman" w:eastAsia="仿宋_GB2312" w:cs="Times New Roman"/>
                              <w:sz w:val="28"/>
                              <w:szCs w:val="28"/>
                            </w:rPr>
                            <w:fldChar w:fldCharType="separate"/>
                          </w:r>
                          <w:r>
                            <w:rPr>
                              <w:rStyle w:val="12"/>
                              <w:rFonts w:hint="default" w:ascii="Times New Roman" w:hAnsi="Times New Roman" w:eastAsia="仿宋_GB2312" w:cs="Times New Roman"/>
                              <w:sz w:val="28"/>
                              <w:szCs w:val="28"/>
                            </w:rPr>
                            <w:t>7</w:t>
                          </w:r>
                          <w:r>
                            <w:rPr>
                              <w:rFonts w:hint="default" w:ascii="Times New Roman" w:hAnsi="Times New Roman" w:eastAsia="仿宋_GB2312" w:cs="Times New Roman"/>
                              <w:sz w:val="28"/>
                              <w:szCs w:val="28"/>
                            </w:rPr>
                            <w:fldChar w:fldCharType="end"/>
                          </w:r>
                          <w:r>
                            <w:rPr>
                              <w:rStyle w:val="12"/>
                              <w:rFonts w:hint="default" w:ascii="Times New Roman" w:hAnsi="Times New Roman" w:cs="Times New Roman"/>
                              <w:sz w:val="28"/>
                              <w:szCs w:val="28"/>
                            </w:rPr>
                            <w:t xml:space="preserve"> </w:t>
                          </w:r>
                          <w:r>
                            <w:rPr>
                              <w:rStyle w:val="12"/>
                              <w:rFonts w:hint="eastAsia" w:ascii="仿宋_GB2312" w:hAnsi="仿宋_GB2312" w:eastAsia="仿宋_GB2312" w:cs="仿宋_GB2312"/>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ind w:left="210" w:leftChars="100" w:right="210" w:rightChars="100"/>
                      <w:jc w:val="right"/>
                      <w:rPr>
                        <w:rStyle w:val="12"/>
                        <w:rFonts w:hint="default" w:ascii="Times New Roman" w:hAnsi="Times New Roman" w:cs="Times New Roman"/>
                      </w:rPr>
                    </w:pPr>
                    <w:r>
                      <w:rPr>
                        <w:rStyle w:val="12"/>
                        <w:rFonts w:hint="eastAsia" w:ascii="仿宋_GB2312" w:hAnsi="仿宋_GB2312" w:eastAsia="仿宋_GB2312" w:cs="仿宋_GB2312"/>
                        <w:sz w:val="28"/>
                        <w:szCs w:val="28"/>
                      </w:rPr>
                      <w:t>—</w:t>
                    </w:r>
                    <w:r>
                      <w:rPr>
                        <w:rStyle w:val="12"/>
                        <w:rFonts w:hint="default" w:ascii="Times New Roman" w:hAnsi="Times New Roman" w:cs="Times New Roman"/>
                        <w:sz w:val="28"/>
                        <w:szCs w:val="28"/>
                      </w:rPr>
                      <w:t xml:space="preserve"> </w:t>
                    </w:r>
                    <w:r>
                      <w:rPr>
                        <w:rFonts w:hint="default" w:ascii="Times New Roman" w:hAnsi="Times New Roman" w:eastAsia="仿宋_GB2312" w:cs="Times New Roman"/>
                        <w:sz w:val="28"/>
                        <w:szCs w:val="28"/>
                      </w:rPr>
                      <w:fldChar w:fldCharType="begin"/>
                    </w:r>
                    <w:r>
                      <w:rPr>
                        <w:rStyle w:val="12"/>
                        <w:rFonts w:hint="default" w:ascii="Times New Roman" w:hAnsi="Times New Roman" w:eastAsia="仿宋_GB2312" w:cs="Times New Roman"/>
                        <w:sz w:val="28"/>
                        <w:szCs w:val="28"/>
                      </w:rPr>
                      <w:instrText xml:space="preserve">PAGE  </w:instrText>
                    </w:r>
                    <w:r>
                      <w:rPr>
                        <w:rFonts w:hint="default" w:ascii="Times New Roman" w:hAnsi="Times New Roman" w:eastAsia="仿宋_GB2312" w:cs="Times New Roman"/>
                        <w:sz w:val="28"/>
                        <w:szCs w:val="28"/>
                      </w:rPr>
                      <w:fldChar w:fldCharType="separate"/>
                    </w:r>
                    <w:r>
                      <w:rPr>
                        <w:rStyle w:val="12"/>
                        <w:rFonts w:hint="default" w:ascii="Times New Roman" w:hAnsi="Times New Roman" w:eastAsia="仿宋_GB2312" w:cs="Times New Roman"/>
                        <w:sz w:val="28"/>
                        <w:szCs w:val="28"/>
                      </w:rPr>
                      <w:t>7</w:t>
                    </w:r>
                    <w:r>
                      <w:rPr>
                        <w:rFonts w:hint="default" w:ascii="Times New Roman" w:hAnsi="Times New Roman" w:eastAsia="仿宋_GB2312" w:cs="Times New Roman"/>
                        <w:sz w:val="28"/>
                        <w:szCs w:val="28"/>
                      </w:rPr>
                      <w:fldChar w:fldCharType="end"/>
                    </w:r>
                    <w:r>
                      <w:rPr>
                        <w:rStyle w:val="12"/>
                        <w:rFonts w:hint="default" w:ascii="Times New Roman" w:hAnsi="Times New Roman" w:cs="Times New Roman"/>
                        <w:sz w:val="28"/>
                        <w:szCs w:val="28"/>
                      </w:rPr>
                      <w:t xml:space="preserve"> </w:t>
                    </w:r>
                    <w:r>
                      <w:rPr>
                        <w:rStyle w:val="12"/>
                        <w:rFonts w:hint="eastAsia" w:ascii="仿宋_GB2312" w:hAnsi="仿宋_GB2312" w:eastAsia="仿宋_GB2312" w:cs="仿宋_GB2312"/>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0288" behindDoc="0" locked="0" layoutInCell="1" allowOverlap="1">
              <wp:simplePos x="0" y="0"/>
              <wp:positionH relativeFrom="margin">
                <wp:posOffset>4906010</wp:posOffset>
              </wp:positionH>
              <wp:positionV relativeFrom="paragraph">
                <wp:posOffset>0</wp:posOffset>
              </wp:positionV>
              <wp:extent cx="638175" cy="2228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38175" cy="222885"/>
                      </a:xfrm>
                      <a:prstGeom prst="rect">
                        <a:avLst/>
                      </a:prstGeom>
                      <a:noFill/>
                      <a:ln>
                        <a:noFill/>
                      </a:ln>
                    </wps:spPr>
                    <wps:txbx>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p>
                        <w:p>
                          <w:pPr>
                            <w:rPr>
                              <w:rFonts w:hint="default" w:ascii="Times New Roman" w:hAnsi="Times New Roman" w:cs="Times New Roman"/>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386.3pt;margin-top:0pt;height:17.55pt;width:50.25pt;mso-position-horizontal-relative:margin;z-index:251660288;mso-width-relative:page;mso-height-relative:page;" filled="f" stroked="f" coordsize="21600,21600" o:gfxdata="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5kIL79cAAAAHAQAADwAAAAAAAAABACAAAAAiAAAAZHJzL2Rvd25yZXYueG1sUEsBAhQA&#10;FAAAAAgAh07iQHQCRLO6AQAAcQMAAA4AAAAAAAAAAQAgAAAAJgEAAGRycy9lMm9Eb2MueG1sUEsF&#10;BgAAAAAGAAYAWQEAAFIFAAAAAA==&#10;">
              <v:fill on="f" focussize="0,0"/>
              <v:stroke on="f"/>
              <v:imagedata o:title=""/>
              <o:lock v:ext="edit" aspectratio="f"/>
              <v:textbox inset="0mm,0mm,0mm,0mm">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p>
                  <w:p>
                    <w:pPr>
                      <w:rPr>
                        <w:rFonts w:hint="default" w:ascii="Times New Roman" w:hAnsi="Times New Roman" w:cs="Times New Roman"/>
                        <w:sz w:val="28"/>
                        <w:szCs w:val="28"/>
                        <w:lang w:eastAsia="zh-CN"/>
                      </w:rPr>
                    </w:pP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NjlmZDU5MTAwMDViNjNhNjU4MTBjM2EzNDk5MGYifQ=="/>
  </w:docVars>
  <w:rsids>
    <w:rsidRoot w:val="79480478"/>
    <w:rsid w:val="04581884"/>
    <w:rsid w:val="057B689E"/>
    <w:rsid w:val="05D34D35"/>
    <w:rsid w:val="06D544CB"/>
    <w:rsid w:val="09C82713"/>
    <w:rsid w:val="09CE52AE"/>
    <w:rsid w:val="0AF93A9B"/>
    <w:rsid w:val="0B095FCA"/>
    <w:rsid w:val="0BE662D0"/>
    <w:rsid w:val="0EE75D75"/>
    <w:rsid w:val="0FD961A1"/>
    <w:rsid w:val="111A271C"/>
    <w:rsid w:val="11C21DFD"/>
    <w:rsid w:val="12D72169"/>
    <w:rsid w:val="1CAE04EA"/>
    <w:rsid w:val="1D795BEB"/>
    <w:rsid w:val="1F225591"/>
    <w:rsid w:val="24F66BC4"/>
    <w:rsid w:val="27D673CD"/>
    <w:rsid w:val="2818340F"/>
    <w:rsid w:val="29195E94"/>
    <w:rsid w:val="2A5D0EF8"/>
    <w:rsid w:val="2FA241A9"/>
    <w:rsid w:val="30900A03"/>
    <w:rsid w:val="35546519"/>
    <w:rsid w:val="3B0A065C"/>
    <w:rsid w:val="420E6E15"/>
    <w:rsid w:val="434D73E5"/>
    <w:rsid w:val="44FF12E7"/>
    <w:rsid w:val="4B2B180C"/>
    <w:rsid w:val="4E0869C9"/>
    <w:rsid w:val="516445F8"/>
    <w:rsid w:val="536551CC"/>
    <w:rsid w:val="537C14E3"/>
    <w:rsid w:val="5A1C10F1"/>
    <w:rsid w:val="5D9F205A"/>
    <w:rsid w:val="5EDC2A36"/>
    <w:rsid w:val="5F1B25A5"/>
    <w:rsid w:val="62E1353B"/>
    <w:rsid w:val="677F4034"/>
    <w:rsid w:val="68825236"/>
    <w:rsid w:val="692A2362"/>
    <w:rsid w:val="69FC4AA0"/>
    <w:rsid w:val="70BA4035"/>
    <w:rsid w:val="719A1B61"/>
    <w:rsid w:val="728221C1"/>
    <w:rsid w:val="72953CC6"/>
    <w:rsid w:val="72B552CA"/>
    <w:rsid w:val="72FB2823"/>
    <w:rsid w:val="79480478"/>
    <w:rsid w:val="7CEA701F"/>
    <w:rsid w:val="7DBE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autoRedefine/>
    <w:unhideWhenUsed/>
    <w:qFormat/>
    <w:uiPriority w:val="0"/>
    <w:pPr>
      <w:keepNext/>
      <w:keepLines/>
      <w:widowControl w:val="0"/>
      <w:spacing w:line="579" w:lineRule="exact"/>
      <w:ind w:firstLine="480" w:firstLineChars="200"/>
      <w:jc w:val="both"/>
      <w:outlineLvl w:val="1"/>
    </w:pPr>
    <w:rPr>
      <w:rFonts w:ascii="Arial" w:hAnsi="Arial" w:eastAsia="仿宋_GB2312" w:cs="Times New Roman"/>
      <w:kern w:val="2"/>
      <w:sz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eastAsia="仿宋_GB2312"/>
    </w:rPr>
  </w:style>
  <w:style w:type="paragraph" w:styleId="4">
    <w:name w:val="Body Text Indent"/>
    <w:basedOn w:val="1"/>
    <w:next w:val="5"/>
    <w:autoRedefine/>
    <w:qFormat/>
    <w:uiPriority w:val="0"/>
    <w:pPr>
      <w:ind w:firstLine="540"/>
    </w:pPr>
    <w:rPr>
      <w:sz w:val="30"/>
    </w:rPr>
  </w:style>
  <w:style w:type="paragraph" w:styleId="5">
    <w:name w:val="Body Text First Indent 2"/>
    <w:basedOn w:val="4"/>
    <w:next w:val="1"/>
    <w:autoRedefine/>
    <w:qFormat/>
    <w:uiPriority w:val="0"/>
    <w:pPr>
      <w:ind w:firstLine="420" w:firstLineChars="200"/>
    </w:pPr>
    <w:rPr>
      <w:rFonts w:ascii="Times New Roman" w:hAnsi="Times New Roman"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8">
    <w:name w:val="footnote text"/>
    <w:basedOn w:val="1"/>
    <w:next w:val="5"/>
    <w:autoRedefine/>
    <w:semiHidden/>
    <w:qFormat/>
    <w:uiPriority w:val="0"/>
    <w:pPr>
      <w:snapToGrid w:val="0"/>
      <w:jc w:val="left"/>
    </w:pPr>
    <w:rPr>
      <w:sz w:val="18"/>
    </w:rPr>
  </w:style>
  <w:style w:type="paragraph" w:styleId="9">
    <w:name w:val="Body Text Indent 3"/>
    <w:basedOn w:val="1"/>
    <w:autoRedefine/>
    <w:qFormat/>
    <w:uiPriority w:val="0"/>
    <w:pPr>
      <w:ind w:left="-178" w:leftChars="-85" w:firstLine="542" w:firstLineChars="180"/>
    </w:pPr>
    <w:rPr>
      <w:rFonts w:ascii="仿宋_GB2312" w:hAnsi="宋体" w:eastAsia="仿宋_GB2312"/>
      <w:b/>
      <w:bCs/>
      <w:sz w:val="30"/>
    </w:rPr>
  </w:style>
  <w:style w:type="character" w:styleId="12">
    <w:name w:val="page number"/>
    <w:basedOn w:val="11"/>
    <w:autoRedefine/>
    <w:qFormat/>
    <w:uiPriority w:val="0"/>
  </w:style>
  <w:style w:type="paragraph" w:customStyle="1" w:styleId="13">
    <w:name w:val="Char1"/>
    <w:basedOn w:val="1"/>
    <w:autoRedefine/>
    <w:qFormat/>
    <w:uiPriority w:val="0"/>
  </w:style>
  <w:style w:type="paragraph" w:customStyle="1" w:styleId="14">
    <w:name w:val="发文单位"/>
    <w:autoRedefine/>
    <w:qFormat/>
    <w:uiPriority w:val="99"/>
    <w:pPr>
      <w:widowControl w:val="0"/>
      <w:adjustRightInd w:val="0"/>
      <w:spacing w:before="120" w:after="120" w:line="560" w:lineRule="atLeast"/>
      <w:jc w:val="center"/>
    </w:pPr>
    <w:rPr>
      <w:rFonts w:ascii="黑体" w:hAnsi="Calibri" w:eastAsia="黑体" w:cs="Calibri"/>
      <w:color w:val="FF0000"/>
      <w:spacing w:val="60"/>
      <w:sz w:val="52"/>
      <w:szCs w:val="52"/>
      <w:lang w:val="en-US" w:eastAsia="zh-CN" w:bidi="ar-SA"/>
    </w:rPr>
  </w:style>
  <w:style w:type="paragraph" w:customStyle="1" w:styleId="15">
    <w:name w:val="文书类型"/>
    <w:autoRedefine/>
    <w:qFormat/>
    <w:uiPriority w:val="99"/>
    <w:pPr>
      <w:widowControl w:val="0"/>
      <w:adjustRightInd w:val="0"/>
      <w:spacing w:before="120" w:after="180" w:line="560" w:lineRule="atLeast"/>
      <w:jc w:val="center"/>
    </w:pPr>
    <w:rPr>
      <w:rFonts w:ascii="黑体" w:hAnsi="Calibri" w:eastAsia="黑体" w:cs="Calibri"/>
      <w:color w:val="FF0000"/>
      <w:spacing w:val="120"/>
      <w:sz w:val="84"/>
      <w:szCs w:val="84"/>
      <w:lang w:val="en-US" w:eastAsia="zh-CN" w:bidi="ar-SA"/>
    </w:rPr>
  </w:style>
  <w:style w:type="character" w:customStyle="1" w:styleId="16">
    <w:name w:val="font11"/>
    <w:basedOn w:val="11"/>
    <w:autoRedefine/>
    <w:qFormat/>
    <w:uiPriority w:val="0"/>
    <w:rPr>
      <w:rFonts w:hint="eastAsia" w:ascii="仿宋" w:hAnsi="仿宋" w:eastAsia="仿宋" w:cs="仿宋"/>
      <w:b/>
      <w:color w:val="000000"/>
      <w:sz w:val="36"/>
      <w:szCs w:val="36"/>
      <w:u w:val="none"/>
    </w:rPr>
  </w:style>
  <w:style w:type="paragraph" w:customStyle="1"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1941</Words>
  <Characters>2119</Characters>
  <Lines>0</Lines>
  <Paragraphs>0</Paragraphs>
  <TotalTime>0</TotalTime>
  <ScaleCrop>false</ScaleCrop>
  <LinksUpToDate>false</LinksUpToDate>
  <CharactersWithSpaces>2306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2022-01-20T01:14:00Z</dcterms:created>
  <dc:creator>Lenovo</dc:creator>
  <cp:lastModifiedBy>Michael Li</cp:lastModifiedBy>
  <cp:lastPrinted>2023-07-28T07:52:00Z</cp:lastPrinted>
  <dcterms:modified xsi:type="dcterms:W3CDTF">2024-05-06T02:09:42Z</dcterms:modified>
  <dc:title>横政审报〔2023〕30号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F5A7381B5D994EFB96AC07D8AEAA594E_13</vt:lpwstr>
  </property>
</Properties>
</file>