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Hlk147566642"/>
      <w:bookmarkStart w:id="1" w:name="_Hlk147566828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高镇旗峰村果则塔河堤砌护工程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竣工结算</w:t>
      </w:r>
      <w:r>
        <w:rPr>
          <w:rFonts w:hint="eastAsia" w:ascii="仿宋" w:hAnsi="仿宋" w:eastAsia="仿宋" w:cs="仿宋"/>
          <w:sz w:val="32"/>
          <w:szCs w:val="32"/>
        </w:rPr>
        <w:t>审计结果公告</w:t>
      </w:r>
      <w:bookmarkEnd w:id="0"/>
    </w:p>
    <w:p>
      <w:pPr>
        <w:snapToGrid w:val="0"/>
        <w:spacing w:line="60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</w:t>
      </w:r>
      <w:bookmarkStart w:id="2" w:name="_Hlk147566675"/>
      <w:r>
        <w:rPr>
          <w:rFonts w:hint="eastAsia" w:ascii="仿宋" w:hAnsi="仿宋" w:eastAsia="仿宋"/>
          <w:sz w:val="32"/>
          <w:szCs w:val="32"/>
        </w:rPr>
        <w:t>〔2023年第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bookmarkStart w:id="4" w:name="_GoBack"/>
      <w:bookmarkEnd w:id="4"/>
      <w:r>
        <w:rPr>
          <w:rFonts w:hint="eastAsia" w:ascii="仿宋" w:hAnsi="仿宋" w:eastAsia="仿宋"/>
          <w:sz w:val="32"/>
          <w:szCs w:val="32"/>
        </w:rPr>
        <w:t>号〕</w:t>
      </w:r>
      <w:bookmarkEnd w:id="1"/>
      <w:bookmarkEnd w:id="2"/>
    </w:p>
    <w:p>
      <w:pPr>
        <w:autoSpaceDE w:val="0"/>
        <w:autoSpaceDN w:val="0"/>
        <w:adjustRightInd w:val="0"/>
        <w:spacing w:line="360" w:lineRule="auto"/>
        <w:ind w:firstLine="62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根据《中华人民共和国审计法》第二十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条的规定，我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于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19日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对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区农村综合改革事务中心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报送的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高镇旗峰村果则塔河堤砌护工程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竣工结算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进行了审计。</w:t>
      </w:r>
      <w:bookmarkStart w:id="3" w:name="_Hlk147566584"/>
      <w:r>
        <w:rPr>
          <w:rFonts w:hint="eastAsia" w:ascii="仿宋" w:hAnsi="仿宋" w:eastAsia="仿宋"/>
          <w:bCs/>
          <w:sz w:val="32"/>
          <w:szCs w:val="32"/>
        </w:rPr>
        <w:t>现将审计结果公告如下：</w:t>
      </w:r>
      <w:bookmarkEnd w:id="3"/>
    </w:p>
    <w:p>
      <w:pPr>
        <w:autoSpaceDE w:val="0"/>
        <w:autoSpaceDN w:val="0"/>
        <w:adjustRightInd w:val="0"/>
        <w:spacing w:line="360" w:lineRule="auto"/>
        <w:ind w:firstLine="622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2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高镇旗峰村果则塔河堤砌护工程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2023年2月经区行政审批局批复该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项目初设概算，批复投资171.89万元（横政审批农发〔2023〕2号）。横政财综改发〔2022〕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4号文件下达该项目建设资金160万元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98" w:firstLineChars="200"/>
        <w:jc w:val="left"/>
        <w:textAlignment w:val="auto"/>
        <w:rPr>
          <w:rFonts w:hint="eastAsia" w:ascii="仿宋" w:hAnsi="仿宋" w:eastAsia="仿宋" w:cs="宋体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6"/>
          <w:w w:val="100"/>
          <w:kern w:val="0"/>
          <w:sz w:val="32"/>
          <w:szCs w:val="32"/>
          <w:lang w:val="en-US" w:eastAsia="zh-CN"/>
        </w:rPr>
        <w:t>该项目施工图由陕西开源隆泰水利设计有限公司设计，</w:t>
      </w:r>
      <w:r>
        <w:rPr>
          <w:rFonts w:hint="eastAsia" w:ascii="仿宋" w:hAnsi="仿宋" w:eastAsia="仿宋" w:cs="宋体"/>
          <w:color w:val="auto"/>
          <w:spacing w:val="-6"/>
          <w:w w:val="100"/>
          <w:kern w:val="0"/>
          <w:sz w:val="32"/>
          <w:szCs w:val="32"/>
          <w:lang w:val="en-US" w:eastAsia="zh-CN"/>
        </w:rPr>
        <w:t>2022年11月区财政投资评审中心委托陕西金楷瑞泰工程管理有限公司对该</w:t>
      </w:r>
      <w:r>
        <w:rPr>
          <w:rFonts w:hint="eastAsia" w:ascii="仿宋" w:hAnsi="仿宋" w:eastAsia="仿宋" w:cs="宋体"/>
          <w:color w:val="000000"/>
          <w:spacing w:val="-6"/>
          <w:w w:val="100"/>
          <w:kern w:val="0"/>
          <w:sz w:val="32"/>
          <w:szCs w:val="32"/>
          <w:lang w:val="en-US" w:eastAsia="zh-CN"/>
        </w:rPr>
        <w:t>项目预算进</w:t>
      </w:r>
      <w:r>
        <w:rPr>
          <w:rFonts w:hint="eastAsia" w:ascii="仿宋" w:hAnsi="仿宋" w:eastAsia="仿宋" w:cs="宋体"/>
          <w:color w:val="auto"/>
          <w:spacing w:val="-6"/>
          <w:w w:val="100"/>
          <w:kern w:val="0"/>
          <w:sz w:val="32"/>
          <w:szCs w:val="32"/>
          <w:lang w:val="en-US" w:eastAsia="zh-CN"/>
        </w:rPr>
        <w:t>行了评审，核定招标控制价151.04万元（横政财评函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宋体"/>
          <w:color w:val="auto"/>
          <w:spacing w:val="-6"/>
          <w:w w:val="1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宋体"/>
          <w:color w:val="auto"/>
          <w:spacing w:val="-6"/>
          <w:w w:val="100"/>
          <w:kern w:val="0"/>
          <w:sz w:val="32"/>
          <w:szCs w:val="32"/>
          <w:lang w:val="en-US" w:eastAsia="zh-CN"/>
        </w:rPr>
        <w:t>317号）。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2023年3月区发科局批复该项目招标实施方案（横政发科发〔2023〕33号）。</w:t>
      </w:r>
      <w:r>
        <w:rPr>
          <w:rFonts w:hint="eastAsia" w:ascii="仿宋" w:hAnsi="仿宋" w:eastAsia="仿宋" w:cs="宋体"/>
          <w:color w:val="000000"/>
          <w:spacing w:val="-6"/>
          <w:w w:val="100"/>
          <w:kern w:val="0"/>
          <w:sz w:val="32"/>
          <w:szCs w:val="32"/>
          <w:lang w:val="en-US" w:eastAsia="zh-CN"/>
        </w:rPr>
        <w:t>2023年3月委托榆林和泰雅工程项目管理有限公司组织邀请招标，由陕西江泰通建设工程有限公司中标承建，合同价1507764.99元。</w:t>
      </w:r>
      <w:r>
        <w:rPr>
          <w:rFonts w:hint="eastAsia" w:ascii="仿宋" w:hAnsi="仿宋" w:eastAsia="仿宋" w:cs="宋体"/>
          <w:color w:val="000000"/>
          <w:w w:val="100"/>
          <w:kern w:val="0"/>
          <w:sz w:val="32"/>
          <w:szCs w:val="32"/>
          <w:lang w:val="en-US" w:eastAsia="zh-CN"/>
        </w:rPr>
        <w:t>完成建设内容包括：新建河堤砌护190米，铺设M7.5浆砌石基础305立方米、M7.5浆砌石挡墙2278立方米、排水管砂砾石滤带388立方米、排水管道安装及土工布，土石方开挖、土方回填及外运等工程内容。监理业务由陕西瑞福泰工程监理有限公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2" w:firstLineChars="200"/>
        <w:jc w:val="left"/>
        <w:textAlignment w:val="auto"/>
        <w:rPr>
          <w:rFonts w:hint="eastAsia" w:ascii="仿宋" w:hAnsi="仿宋" w:eastAsia="仿宋" w:cs="宋体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w w:val="100"/>
          <w:kern w:val="0"/>
          <w:sz w:val="32"/>
          <w:szCs w:val="32"/>
          <w:lang w:val="en-US" w:eastAsia="zh-CN"/>
        </w:rPr>
        <w:t>该工程于2023年4月开工，2023年5月完工，2023年5月通过初步验收。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2" w:firstLineChars="200"/>
        <w:jc w:val="left"/>
        <w:textAlignment w:val="auto"/>
        <w:rPr>
          <w:rFonts w:hint="eastAsia" w:ascii="仿宋" w:hAnsi="仿宋" w:eastAsia="仿宋" w:cs="宋体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w w:val="100"/>
          <w:kern w:val="0"/>
          <w:sz w:val="32"/>
          <w:szCs w:val="32"/>
          <w:lang w:val="en-US" w:eastAsia="zh-CN"/>
        </w:rPr>
        <w:t>该项目送审总投资1635135.01元，其中：建安工程投资1542900元；待摊投资92235.01元（设计费45000元,招标代理费13500元，监理费33735.01元）。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22" w:firstLineChars="200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</w:rPr>
        <w:t>审计发现的主要问题</w:t>
      </w:r>
    </w:p>
    <w:p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146" w:rightChars="-73" w:firstLine="622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多计总投资35699.19元，其中：建安工程投资35673.13元，监理费564.18元。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18"/>
          <w:highlight w:val="none"/>
          <w:lang w:val="en-US" w:eastAsia="zh-CN" w:bidi="ar-SA"/>
        </w:rPr>
      </w:pPr>
      <w:r>
        <w:rPr>
          <w:rFonts w:hint="eastAsia" w:cs="Times New Roman"/>
          <w:color w:val="000000"/>
          <w:kern w:val="2"/>
          <w:sz w:val="32"/>
          <w:szCs w:val="18"/>
          <w:highlight w:val="none"/>
          <w:lang w:val="en-US" w:eastAsia="zh-CN" w:bidi="ar-SA"/>
        </w:rPr>
        <w:t xml:space="preserve">                  </w:t>
      </w:r>
    </w:p>
    <w:sectPr>
      <w:footerReference r:id="rId5" w:type="first"/>
      <w:headerReference r:id="rId3" w:type="default"/>
      <w:footerReference r:id="rId4" w:type="default"/>
      <w:pgSz w:w="11907" w:h="16840"/>
      <w:pgMar w:top="1985" w:right="1531" w:bottom="1928" w:left="1531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567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jc w:val="right"/>
                            <w:rPr>
                              <w:rStyle w:val="12"/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jc w:val="right"/>
                      <w:rPr>
                        <w:rStyle w:val="12"/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4906010</wp:posOffset>
              </wp:positionH>
              <wp:positionV relativeFrom="paragraph">
                <wp:posOffset>0</wp:posOffset>
              </wp:positionV>
              <wp:extent cx="638175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3pt;margin-top:0pt;height:17.55pt;width:50.25pt;mso-position-horizontal-relative:margin;z-index:251660288;mso-width-relative:page;mso-height-relative:page;" filled="f" stroked="f" coordsize="21600,21600" o:gfxdata="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kIL79cAAAAHAQAADwAAAAAAAAABACAAAAAiAAAAZHJzL2Rvd25yZXYueG1sUEsBAhQA&#10;FAAAAAgAh07iQHQCRLO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jlmZDU5MTAwMDViNjNhNjU4MTBjM2EzNDk5MGYifQ=="/>
  </w:docVars>
  <w:rsids>
    <w:rsidRoot w:val="79480478"/>
    <w:rsid w:val="04581884"/>
    <w:rsid w:val="05D34D35"/>
    <w:rsid w:val="06D544CB"/>
    <w:rsid w:val="09C82713"/>
    <w:rsid w:val="09CE52AE"/>
    <w:rsid w:val="0AF93A9B"/>
    <w:rsid w:val="0B095FCA"/>
    <w:rsid w:val="0EE75D75"/>
    <w:rsid w:val="0FD961A1"/>
    <w:rsid w:val="111A271C"/>
    <w:rsid w:val="11C21DFD"/>
    <w:rsid w:val="12606919"/>
    <w:rsid w:val="12D72169"/>
    <w:rsid w:val="1CAE04EA"/>
    <w:rsid w:val="1D795BEB"/>
    <w:rsid w:val="1F225591"/>
    <w:rsid w:val="24F66BC4"/>
    <w:rsid w:val="27D673CD"/>
    <w:rsid w:val="29195E94"/>
    <w:rsid w:val="2A5D0EF8"/>
    <w:rsid w:val="2FA241A9"/>
    <w:rsid w:val="30900A03"/>
    <w:rsid w:val="35546519"/>
    <w:rsid w:val="36626799"/>
    <w:rsid w:val="37154E50"/>
    <w:rsid w:val="3B0A065C"/>
    <w:rsid w:val="420E6E15"/>
    <w:rsid w:val="434D73E5"/>
    <w:rsid w:val="44FF12E7"/>
    <w:rsid w:val="471C3EAE"/>
    <w:rsid w:val="4B2B180C"/>
    <w:rsid w:val="4E0869C9"/>
    <w:rsid w:val="51B318A1"/>
    <w:rsid w:val="536551CC"/>
    <w:rsid w:val="537C14E3"/>
    <w:rsid w:val="559F4616"/>
    <w:rsid w:val="5A1C10F1"/>
    <w:rsid w:val="5D9F205A"/>
    <w:rsid w:val="5EDC2A36"/>
    <w:rsid w:val="62E1353B"/>
    <w:rsid w:val="677F4034"/>
    <w:rsid w:val="68825236"/>
    <w:rsid w:val="692A2362"/>
    <w:rsid w:val="70BA4035"/>
    <w:rsid w:val="719A1B61"/>
    <w:rsid w:val="728221C1"/>
    <w:rsid w:val="72953CC6"/>
    <w:rsid w:val="72B552CA"/>
    <w:rsid w:val="72FB2823"/>
    <w:rsid w:val="79480478"/>
    <w:rsid w:val="7CE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line="579" w:lineRule="exact"/>
      <w:ind w:firstLine="480" w:firstLineChars="200"/>
      <w:jc w:val="both"/>
      <w:outlineLvl w:val="1"/>
    </w:pPr>
    <w:rPr>
      <w:rFonts w:ascii="Arial" w:hAnsi="Arial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</w:rPr>
  </w:style>
  <w:style w:type="paragraph" w:styleId="4">
    <w:name w:val="Body Text Indent"/>
    <w:basedOn w:val="1"/>
    <w:next w:val="5"/>
    <w:autoRedefine/>
    <w:qFormat/>
    <w:uiPriority w:val="0"/>
    <w:pPr>
      <w:ind w:firstLine="540"/>
    </w:pPr>
    <w:rPr>
      <w:sz w:val="30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next w:val="5"/>
    <w:autoRedefine/>
    <w:semiHidden/>
    <w:qFormat/>
    <w:uiPriority w:val="0"/>
    <w:pPr>
      <w:snapToGrid w:val="0"/>
      <w:jc w:val="left"/>
    </w:pPr>
    <w:rPr>
      <w:sz w:val="18"/>
    </w:rPr>
  </w:style>
  <w:style w:type="paragraph" w:styleId="9">
    <w:name w:val="Body Text Indent 3"/>
    <w:basedOn w:val="1"/>
    <w:qFormat/>
    <w:uiPriority w:val="0"/>
    <w:pPr>
      <w:ind w:left="-178" w:leftChars="-85" w:firstLine="542" w:firstLineChars="180"/>
    </w:pPr>
    <w:rPr>
      <w:rFonts w:ascii="仿宋_GB2312" w:hAnsi="宋体" w:eastAsia="仿宋_GB2312"/>
      <w:b/>
      <w:bCs/>
      <w:sz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Char1"/>
    <w:basedOn w:val="1"/>
    <w:autoRedefine/>
    <w:qFormat/>
    <w:uiPriority w:val="0"/>
  </w:style>
  <w:style w:type="paragraph" w:customStyle="1" w:styleId="14">
    <w:name w:val="发文单位"/>
    <w:qFormat/>
    <w:uiPriority w:val="99"/>
    <w:pPr>
      <w:widowControl w:val="0"/>
      <w:adjustRightInd w:val="0"/>
      <w:spacing w:before="120" w:after="120" w:line="560" w:lineRule="atLeast"/>
      <w:jc w:val="center"/>
    </w:pPr>
    <w:rPr>
      <w:rFonts w:ascii="黑体" w:hAnsi="Calibri" w:eastAsia="黑体" w:cs="Calibri"/>
      <w:color w:val="FF0000"/>
      <w:spacing w:val="60"/>
      <w:sz w:val="52"/>
      <w:szCs w:val="52"/>
      <w:lang w:val="en-US" w:eastAsia="zh-CN" w:bidi="ar-SA"/>
    </w:rPr>
  </w:style>
  <w:style w:type="paragraph" w:customStyle="1" w:styleId="15">
    <w:name w:val="文书类型"/>
    <w:qFormat/>
    <w:uiPriority w:val="99"/>
    <w:pPr>
      <w:widowControl w:val="0"/>
      <w:adjustRightInd w:val="0"/>
      <w:spacing w:before="120" w:after="180" w:line="560" w:lineRule="atLeast"/>
      <w:jc w:val="center"/>
    </w:pPr>
    <w:rPr>
      <w:rFonts w:ascii="黑体" w:hAnsi="Calibri" w:eastAsia="黑体" w:cs="Calibri"/>
      <w:color w:val="FF0000"/>
      <w:spacing w:val="120"/>
      <w:sz w:val="84"/>
      <w:szCs w:val="84"/>
      <w:lang w:val="en-US" w:eastAsia="zh-CN" w:bidi="ar-SA"/>
    </w:rPr>
  </w:style>
  <w:style w:type="character" w:customStyle="1" w:styleId="16">
    <w:name w:val="font11"/>
    <w:basedOn w:val="11"/>
    <w:qFormat/>
    <w:uiPriority w:val="0"/>
    <w:rPr>
      <w:rFonts w:hint="eastAsia" w:ascii="仿宋" w:hAnsi="仿宋" w:eastAsia="仿宋" w:cs="仿宋"/>
      <w:b/>
      <w:color w:val="000000"/>
      <w:sz w:val="36"/>
      <w:szCs w:val="36"/>
      <w:u w:val="non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1941</Words>
  <Characters>2119</Characters>
  <Lines>0</Lines>
  <Paragraphs>0</Paragraphs>
  <TotalTime>0</TotalTime>
  <ScaleCrop>false</ScaleCrop>
  <LinksUpToDate>false</LinksUpToDate>
  <CharactersWithSpaces>2306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2022-01-20T01:14:00Z</dcterms:created>
  <dc:creator>Lenovo</dc:creator>
  <cp:lastModifiedBy>Michael Li</cp:lastModifiedBy>
  <cp:lastPrinted>2023-06-29T01:29:00Z</cp:lastPrinted>
  <dcterms:modified xsi:type="dcterms:W3CDTF">2024-05-06T02:09:10Z</dcterms:modified>
  <dc:title>横政审报〔2023〕30号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F5A7381B5D994EFB96AC07D8AEAA594E_13</vt:lpwstr>
  </property>
</Properties>
</file>